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C7" w:rsidRDefault="00DD4CC7" w:rsidP="00DD4CC7">
      <w:pPr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ТЕМА 1.</w:t>
      </w:r>
    </w:p>
    <w:p w:rsidR="00DD4CC7" w:rsidRPr="00AE2DEE" w:rsidRDefault="00DD4CC7" w:rsidP="00DD4CC7">
      <w:pPr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30"/>
          <w:szCs w:val="30"/>
        </w:rPr>
      </w:pPr>
      <w:r w:rsidRPr="00AE2DEE">
        <w:rPr>
          <w:rFonts w:ascii="Times New Roman" w:hAnsi="Times New Roman"/>
          <w:b/>
          <w:sz w:val="30"/>
          <w:szCs w:val="30"/>
        </w:rPr>
        <w:t xml:space="preserve">ЖИЛИЩНО-КОММУНАЛЬНОЕ ХОЗЯЙСТВО: </w:t>
      </w:r>
    </w:p>
    <w:p w:rsidR="00DD4CC7" w:rsidRPr="00BA584A" w:rsidRDefault="00DD4CC7" w:rsidP="00DD4CC7">
      <w:pPr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30"/>
          <w:szCs w:val="30"/>
        </w:rPr>
      </w:pPr>
      <w:r w:rsidRPr="00AE2DEE">
        <w:rPr>
          <w:rFonts w:ascii="Times New Roman" w:hAnsi="Times New Roman"/>
          <w:b/>
          <w:sz w:val="30"/>
          <w:szCs w:val="30"/>
        </w:rPr>
        <w:t>ПЕРСПЕКТИВЫ РАЗВИТИЯ</w:t>
      </w:r>
    </w:p>
    <w:p w:rsidR="00DD4CC7" w:rsidRPr="000766DB" w:rsidRDefault="00DD4CC7" w:rsidP="00DD4CC7">
      <w:pPr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Справочно:</w:t>
      </w:r>
      <w:bookmarkStart w:id="0" w:name="_GoBack"/>
      <w:bookmarkEnd w:id="0"/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В состав ЖКХ входят жилищное хозяйство, водоснабжение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 xml:space="preserve">и водоотведение, коммунальная теплоэнергетика, благоустройство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>и санитарная очистка населенных пунктов, озеленение городов и др.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Сфера ЖКХ традиционно находится на особом контроле Главы государства.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”</w:t>
      </w: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Основным критерием эффективности работы нашего коммунального хозяйства является оценка со стороны рядового потребителя.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 xml:space="preserve"> Мы все понимаем, что услуги ЖКХ – основа качества жизни людей. Если в квартире у человека тепло, в кране хорошая вода,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br/>
        <w:t>в подъезде и во дворе порядок, то и слова в ваш адрес будут только положительные“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, – особо отметил Президент Республики Беларусь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А.Г.Лукашенко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, на совещании по вопросам функционирования ЖКХ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br/>
        <w:t>5 апреля 2022 г.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1. НАПРАВЛЕНИЯ РАЗВИТИЯ СИСТЕМЫ ЖКХ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br/>
        <w:t>И МЕХАНИЗМЫ ЕЕ СОВЕРШЕНСТВОВАНИЯ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1.1. Жилищный фонд, его содержание и эксплуатация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Жилищный фонд страны насчитывает свыше 1,5 млн. жилых домов общей площадью около 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Каждый человек отдает предпочтение уютным и комфортным условиям проживания. Предоставление таких условий лежит на жилищно-эксплуатационных службах, в чьи непосредственные обязанности входит содержание жилфонда.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В Беларуси проводится единая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политика в отношении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lastRenderedPageBreak/>
        <w:t>эксплуатации жилищного фонда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независимо от форм собственности организаций ЖКХ.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Результатом проведения последовательной политики в области эксплуатации жилищного фонда является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крайне низкая площадь ветхих и аварийных жилых домов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(не превышает 0,1% от общей площади жилья). Более того,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в целях улучшения эксплуатационных показателей жилфонда.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С 2010 по 2021 год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объемы ввода жилья после капитального ремонта увеличились более чем в 2 раза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В республике установлены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единые подходы к проведению, планированию и финансированию капитального ремонта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, а также перечень видов работ, финансируемых за счет средств, направляемых на капитальный ремонт жилфонда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(постановление Совета Министров Республики Беларусь от 21 апреля 2016 г. № 324)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органами с перспективой на год, на 5 лет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br/>
        <w:t>и размещаются в средствах массовой информации, на интернет-сайтах исполнительных комитетов, местных администраций районов в городах.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Отчисления на капремонт жилфонда производят все без исключения жители многоквартирных домов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(на 1 ноября 2022 г. тариф составляет 0,1958 руб. за 1 кв. м ежемесячно)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Белорусское государство оказывает поддержку гражданам путем субсидирования данного вида услуг: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за счет бюджетных средств предусмотрены механизмы реализации энергоэффективных мероприятий в жилищном фонде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(утепление фасада жилого дома, установка счетчиков тепла, замена системы отопления)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с последующим возмещением собственниками жилых помещений части стоимости мероприятий (до 50%) в течение 10 лет равными ежемесячными платежами.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 xml:space="preserve">Тепловая модернизация 50 многоквартирных домов приводит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br/>
        <w:t xml:space="preserve">к сокращению финансовых затрат на субсидирование оплаты тепловой энергии для населения из бюджета на 520 тыс. руб. ежегодно. 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 xml:space="preserve"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</w:t>
      </w:r>
      <w:r>
        <w:rPr>
          <w:rFonts w:ascii="Times New Roman" w:hAnsi="Times New Roman"/>
          <w:bCs/>
          <w:i/>
          <w:spacing w:val="-2"/>
          <w:sz w:val="30"/>
          <w:szCs w:val="30"/>
        </w:rPr>
        <w:t xml:space="preserve">                    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6,5 белорусских рублей.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lastRenderedPageBreak/>
        <w:t xml:space="preserve">Это стало возможно благодаря положениям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Указа Президента Республики Беларусь от 4 сентября 2019 г. № 327 ”О повышении энергоэффективности многоквартирных жилых домов“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(далее – Указ № 327),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Согласно Указа № 327,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решение граждан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об участии в энерго-эффективных мероприятиях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является добровольным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, при этом собственники сами выбирают необходимые виды работ из предлагаемого перечня.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Указом № 327 установлено, что все работы по реализации энергоэффективных мероприятий выполняются за счет бюджетных средств, а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граждане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(собственники)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возмещают затраты только после их реализации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. Размер возмещения определяется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пропорционально доле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каждого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собственника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в общей площади жилых или нежилых помещений.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Поскольку в нашей стране поддержка семьи является национальным приоритетом,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 государство оплатит конкретной семье размер превышения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платы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с учетом платы за реализацию энергоэффективных мероприятий,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если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плата будет превышать определенную долю в их совокупном доходе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(20% в городе или 15% в сельской местности)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1.2. Развитие систем питьевого водоснабжения и водоотведения (канализации)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Вопросы обеспечения населения качественной питьевой водой являются одной из важнейших задач белорусского государства, решение которой напрямую влияет на улучшение жизни людей.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Ощутимый результат принесли принятые Главой государства решения по строительству сетей водоснабжения, водоотведения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в существующей индивидуальной застройке. 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По данным Министерства жилищно-коммунального хозяйства (далее – МЖКХ),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в 2020 – 2021 гг. построено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68,52 км сетей водоснабжения и 48,51 км сетей водоотведени</w:t>
      </w:r>
      <w:r w:rsidRPr="00F62329">
        <w:rPr>
          <w:rFonts w:ascii="Times New Roman" w:hAnsi="Times New Roman"/>
          <w:spacing w:val="-2"/>
          <w:sz w:val="30"/>
          <w:szCs w:val="30"/>
        </w:rPr>
        <w:t>я (канализации), что позволило повысить комфортность проживания населения (преимущественно в сельских населенных пунктах).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 целях создания комфортной среды проживания в Беларуси реализуется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подпрограмма ”Чистая вода“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в рамках Государственной программы ”Комфортное жилье и благоприятная среда“ на 2021 – </w:t>
      </w:r>
      <w:r>
        <w:rPr>
          <w:rFonts w:ascii="Times New Roman" w:hAnsi="Times New Roman"/>
          <w:spacing w:val="-2"/>
          <w:sz w:val="30"/>
          <w:szCs w:val="30"/>
        </w:rPr>
        <w:t xml:space="preserve">           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2025 годы. 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</w:t>
      </w:r>
      <w:r w:rsidRPr="00F62329">
        <w:rPr>
          <w:rFonts w:ascii="Times New Roman" w:hAnsi="Times New Roman"/>
          <w:spacing w:val="-2"/>
          <w:sz w:val="30"/>
          <w:szCs w:val="30"/>
        </w:rPr>
        <w:lastRenderedPageBreak/>
        <w:t>водоснабжения и водоотведения, повышение качества очистки сточных вод и надежности систем водоснабжения и водоотведения.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В рамках подпрограммы ”Чистая вода“ за 2021 год построена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br/>
        <w:t xml:space="preserve">201 станция обезжелезивания воды (в планах к 2025 году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к существующей централизованной системе водоснабжения с водой питьевого качества. Ежегодно выполняется замена сетей водоснабжения и водоотведения со сверхнормативными сроками эксплуатации в объеме не менее 3% от общей протяженности со сверхнормативным сроком эксплуатации. В результате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доступ к качественной питьевой воде получили более 500 тыс. человек,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проживающих преимущественно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>в сельской местности.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70 объектов очистных сооружений сточных вод; строительство около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>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1.3. Повышение надежности, технологической и экономической эффективности теплоснабжения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”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– отметил Президент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20 октября 2017 г. на республиканском семинаре ”О совершенствовании и развитии жилищно-коммунального хозяйства страны“. Вместе с тем,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население Беларуси не ощущает существенной экономической нагрузки</w:t>
      </w:r>
      <w:r w:rsidRPr="00F62329">
        <w:rPr>
          <w:rFonts w:ascii="Times New Roman" w:hAnsi="Times New Roman"/>
          <w:spacing w:val="-2"/>
          <w:sz w:val="30"/>
          <w:szCs w:val="30"/>
        </w:rPr>
        <w:t>, поскольку государство оказывает серьезную государственную поддержку.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Граждане возмещают лишь около 20% затрат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на потребляемую тепловую энергию,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остальные 80% покрываются бюджетом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. Так,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br/>
        <w:t>за 1 Гкал население платит по тарифу 21,75 рубля (общий тариф на сегодняшний день), в то время как себестоимость 1 Гкал составляет 118,95 рубля. Остальное доплачивает государство.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lastRenderedPageBreak/>
        <w:t xml:space="preserve">Примечательно, что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в Беларуси курс на энергосбережение осуществляется не за счет запретов и уменьшения подачи тепла (как сейчас происходит в Европе), а при помощи гораздо более разумных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br/>
        <w:t>и эффективных мер</w:t>
      </w:r>
      <w:r w:rsidRPr="00F62329">
        <w:rPr>
          <w:rFonts w:ascii="Times New Roman" w:hAnsi="Times New Roman"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Например, в настоящее время к неординарным мерам прибегают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br/>
        <w:t xml:space="preserve"> в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ФРГ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”обтираться влажной тряпкой“.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Цены производителей в Германии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Великобритании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млн. британцев имеют проблемы с оплатой счетов.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Во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Франции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возросла почти на 10%.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Чехии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своя ”экономия“: не включают отопление в школах, детям на уроках раздают пледы; студентов предлагают перевести на дистанционное обучение.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Нидерландах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постепенно прекращают работу теплицы, несмотря на то, что именно на них приходится почти 40% объема выращенных в Европе овощей. Соответственно, сокращаются рабочие места.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Венгрии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>В 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Румынии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>, где свыше половины населения уже отапливает дома дровами, Правительство ввело потолок цен на дрова.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Польше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власти некоторых городов рассматривают варианты закрытия ряда офисов (в оста</w:t>
      </w:r>
      <w:r>
        <w:rPr>
          <w:rFonts w:ascii="Times New Roman" w:hAnsi="Times New Roman"/>
          <w:bCs/>
          <w:i/>
          <w:iCs/>
          <w:spacing w:val="-2"/>
          <w:sz w:val="30"/>
          <w:szCs w:val="30"/>
        </w:rPr>
        <w:t>льных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температура составит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Литовское правительство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приняло решение использовать для отопления г.Вильнюса загрязняющий окружающую среду мазут.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 xml:space="preserve">В столичном районе Вилкпеде счет за квартиру площадью 40 кв. м составляет 73 евро. Самые высокие цены фиксируют жители пос.Вежайчай Клайпедского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lastRenderedPageBreak/>
        <w:t xml:space="preserve">района: за квартиру площадью 37 кв. м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>(из них 7 кв</w:t>
      </w:r>
      <w:r>
        <w:rPr>
          <w:rFonts w:ascii="Times New Roman" w:hAnsi="Times New Roman"/>
          <w:bCs/>
          <w:i/>
          <w:iCs/>
          <w:spacing w:val="-2"/>
          <w:sz w:val="30"/>
          <w:szCs w:val="30"/>
        </w:rPr>
        <w:t>.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м – неотапливаемый коридор) счет со скидкой, одобренной горсоветом, составляет 208 евро.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Эстонии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>(в сумму входит стоимость электр</w:t>
      </w:r>
      <w:r>
        <w:rPr>
          <w:rFonts w:ascii="Times New Roman" w:hAnsi="Times New Roman"/>
          <w:bCs/>
          <w:i/>
          <w:iCs/>
          <w:spacing w:val="-2"/>
          <w:sz w:val="30"/>
          <w:szCs w:val="30"/>
        </w:rPr>
        <w:t>оснабжения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, отопления, воды, вывоза мусора).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i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Почти идентичную сумму за коммунальные услуги платят 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br/>
        <w:t xml:space="preserve">в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Латвии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и </w:t>
      </w:r>
      <w:r w:rsidRPr="00F6232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Австрии</w:t>
      </w:r>
      <w:r w:rsidRPr="00F6232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– 238 и 237 евро соответственно.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Частью государственной политики по укреплению энергетической безопасности страны стало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активное использование местных видов топлива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Согласно информации Минэнерго, по объемам добычи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торфа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Беларусь занимает четвертое место в мире, по объему производств</w:t>
      </w:r>
      <w:r>
        <w:rPr>
          <w:rFonts w:ascii="Times New Roman" w:hAnsi="Times New Roman"/>
          <w:i/>
          <w:spacing w:val="-2"/>
          <w:sz w:val="30"/>
          <w:szCs w:val="30"/>
        </w:rPr>
        <w:t>а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брикетов – первое.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При этом речь идет не только о дровах и торфе, но и об отходах производств – это щепа, льняная костра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(древесная часть стеблей льна, образующаяся как отходы производства при механической обработке сырья)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и другие возобновляемые ресурсы.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В нашей стране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на местных видах топлива работают порядка 70% котельных ЖКХ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, а доля местных топливно-энергетических ресурсов в балансе котельно-печного топлива достигла 44,3%.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Внедрение местных видов топлива имеет двойную выгоду: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во-первых, используется отечественный ресурс: во-вторых, под него разрабатывается оборудование, что создает дополнительные рабочие места.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Так, активное развитие получили пеллетные производства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(пеллеты – гранулы биотоплива).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Коммунальные предприятия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начали применять 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простые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в использовании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предизолированные трубы для подачи тепла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(предварительно изолированные трубы, использование которых помогает сократить теплопотери; срок службы – около 50 лет)</w:t>
      </w:r>
      <w:r w:rsidRPr="00F62329">
        <w:rPr>
          <w:rFonts w:ascii="Times New Roman" w:hAnsi="Times New Roman"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За прошлую пятилетку организациями ЖКХ заменено 3,1 тыс. км тепловых сетей, что позволило стабилизировать количество тепловых сетей со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lastRenderedPageBreak/>
        <w:t>сверхнормативными сроками эксплуатации и увеличить протяженность тепловых сетей с использованием предизолированных труб.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В связи с реализацией в нашей стране проекта по строительству Белорусской атомной электростанции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 у потребителей расширился спектр использования электроэнергии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 xml:space="preserve">За январь – август 2022 г. объем потребления электроэнергии населением для нужд отопления и горячего водоснабжения вырос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br/>
        <w:t>в 1,8 раза по сравнению с аналогичным периодом 2021 года: со 162,5 млн. кВт·ч до 300,5 млн. кВт·ч.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Увеличение электропотребления для отопления и горячего водоснабжения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ведется по трем направлениям: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строительство нового электрифицированного многоквартирного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br/>
        <w:t>и индивидуального жилья;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В этих целях на уровне Главы государства приняты стимулирующие тарифы, а также имеется возможность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(Указ Президента Республики Беларусь от 14 апреля 2020 г. № 127 ”О возмещении расходов на электроснабжение эксплуатируемого жилищного фонда“).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Электроэнергия для отопления, горячего водоснабжения, приготовления пищи – выгодное решение для частного сектора.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В Беларуси на 1 июня 2022 г. около 31 тыс. бытовых абонентов перешли на расчеты по тарифам за электрическую энергию для нужд отопления и горячего водоснабжения.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1.4. Совершенствование систем обращения с коммунальными отходами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spacing w:val="-2"/>
          <w:sz w:val="30"/>
          <w:szCs w:val="30"/>
        </w:rPr>
        <w:t>(далее – Национальная стратегия) предусматривает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совершенствование системы переработки и использования отходов.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 xml:space="preserve">Справочно: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В Республике Беларусь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 xml:space="preserve"> ежегодно образуется около 4 млн. т ТКО.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При этом 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lastRenderedPageBreak/>
        <w:t>С 2012 по 2021 год объемы сбора ВМР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(отходы стекла, полимерные отходы, отходы бумаги и картона)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 xml:space="preserve">увеличились в 2 раза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(соответственно 381,6 тыс. т и 790,6 тыс. т).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К началу 2022 года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 уровень использования коммунальных отходов составил 31,1%</w:t>
      </w:r>
      <w:r w:rsidRPr="00F62329">
        <w:rPr>
          <w:rFonts w:ascii="Times New Roman" w:hAnsi="Times New Roman"/>
          <w:spacing w:val="-2"/>
          <w:sz w:val="30"/>
          <w:szCs w:val="30"/>
        </w:rPr>
        <w:t>, что в 3 раза больше, чем 9 лет назад. Поставлена задача достичь уровня использования коммунальных отходов к 2025 году – 64%, а к 2035 году – 90%.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Важную роль в вопросах совершенствования обращения с отходами играет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подпрограмма ”Цель 99“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Государственной программы ”Комфортное жилье и благоприятная среда“ на 2021 – 2025 годы. Ее суть сводится к тому, чтобы довести сбор ВМР и их переработку до 99%.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Сегодня в Беларуси запущено движение ”Цель 99“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В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населенных пунктах насчитыва</w:t>
      </w:r>
      <w:r>
        <w:rPr>
          <w:rFonts w:ascii="Times New Roman" w:hAnsi="Times New Roman"/>
          <w:i/>
          <w:spacing w:val="-2"/>
          <w:sz w:val="30"/>
          <w:szCs w:val="30"/>
        </w:rPr>
        <w:t>ется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>порядка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>30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0 тыс.  контейнеров (включая размещенные в секторе индивидуальной жилой застройки)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и их количество постоянно увеличивается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В соответствии с Национальной стратегией реализуются следующие комплексы мероприятий по совершенствованию системы обращения с ТКО и ВМР: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развитие инфраструктуры и совершенствование логистики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spacing w:val="-2"/>
          <w:sz w:val="30"/>
          <w:szCs w:val="30"/>
        </w:rPr>
        <w:br/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и раздельного сбора отходов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– модернизация транспортного парка, контейнерного хозяйства, инфраструктуры сбора (контейнерные площадки, мусоропроводы);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– в том числе создание 30 крупных комплексных объектов по сортировке и использованию ТКО, обслуживающих 3–6 районов;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В 2022 году ведется строительство таких объектов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br/>
        <w:t>в Барановичах, Орше, Бобруйске. До 2025 года подобные региональные комплексы должны заработать в Волковыске и Минске.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энергетическое использование отходов 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– внедрение технологии применения в цементной промышленности альтернативного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RDF-топлива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(англ.: refuse derived fuel или твердое вторичное топливо – это топливо, полученное из отходов)</w:t>
      </w:r>
      <w:r w:rsidRPr="00F62329">
        <w:rPr>
          <w:rFonts w:ascii="Times New Roman" w:hAnsi="Times New Roman"/>
          <w:spacing w:val="-2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газ и уголь на цементных заводах;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lastRenderedPageBreak/>
        <w:t>В данный момент технологическая линия по использованию RDF-топлива введена в эксплуатацию на ОАО ”Красносельскстройматериалы“ (пилотный проект в Гродненской области). В перспективе RDF-топливо планируется использовать еще на двух белорусских цементных заводах – в Кричеве и Костюковичах.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внедрение технологий компостирования органической части ТКО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(пищевые отходы, растительные остатки, отходы от уборки озелененных территорий)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– планируется, что к 2035 году захоронение коммунальных отходов на полигонах сократится на 38%. В 2021 году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>в Минске уже введена в эксплуатацию линия по компостированию органических отходов в УП ”Минскзеленстрой“.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 </w:t>
      </w:r>
      <w:r w:rsidRPr="00F62329">
        <w:rPr>
          <w:rFonts w:ascii="Times New Roman" w:hAnsi="Times New Roman"/>
          <w:spacing w:val="-2"/>
          <w:sz w:val="30"/>
          <w:szCs w:val="30"/>
          <w:lang w:val="en-US"/>
        </w:rPr>
        <w:t>XXI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веке Беларусь должна максимально использовать внутренние ресурсы, в том числе и отходы. Как отметил белорусский лидер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в апреле т.г. на совещании по вопросам функционирования ЖКХ,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”вторичные ресурсы – это Клондайк для белорусских предприятий…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Это не должно умереть на свалке.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Это дешевый ресурс, дешевое сырье для дальнейшего использования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“.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2. СОВЕРШЕНСТВОВАНИЕ ТАРИФНОЙ ПОЛИТИКИ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br/>
        <w:t>В СФЕРЕ ОКАЗАНИЯ ЖИЛИЩНО-КОММУНАЛЬНЫХ УСЛУГ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Установление тарифов на жилищно-коммунальные услуги для населения осуществляется при соблюдении основного принципа: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ежегодный платеж по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типовой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 2-х комнатной квартире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площадью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br/>
        <w:t xml:space="preserve">48 кв. м с тремя проживающими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при нормативном потреблении услуг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не должен увеличиться более чем на 5 долл. США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в эквиваленте.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С 2019 года повышение тарифов на жилищно-коммунальные услуги для населения происходит в два этапа (с 1 января и с 1 июня).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Несмотря на происходящий в последние годы рост стоимости</w:t>
      </w: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 xml:space="preserve"> услуг ЖКХ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, их</w:t>
      </w: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 xml:space="preserve"> оплата занимает 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относительно</w:t>
      </w: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 xml:space="preserve"> невысокий удельный вес в расходах белорусских семей.</w:t>
      </w: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6%, в 2021 году – 6,4%.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В июне 2022 г. Правительством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принято решение об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отмене ранее запланированного повышения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(с 1 июня 2022 г. на 8,8%)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тарифов на тепловую энергию и на электрическую энергию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, используемую на нужды отопления и горячего водоснабжения.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lastRenderedPageBreak/>
        <w:t xml:space="preserve">Избежать резкого увеличения доли жилищно-коммунальных услуг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br/>
        <w:t xml:space="preserve">в расходах домашних хозяйств удается за счет поступательного повышения доходов населения и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снижения затрат на оказание ЖКУ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За период с 2016 года по 2021 год экономия затрат по системе ЖКХ составила более 725 млн. рублей. Основной упор делается на сокращении потребления топливно-энергетических ресурсов, потерь тепловой энергии и воды, а также на оптимизации численности штатных сотрудников, уменьшении накладных расходов.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по оплате жилищно-коммунальных услуг с 1 октября 2016 г.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функционирует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система безналичных жилищных субсидий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t xml:space="preserve"> (далее – БЖС). 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Pr="00F62329">
        <w:rPr>
          <w:rFonts w:ascii="Times New Roman" w:hAnsi="Times New Roman"/>
          <w:bCs/>
          <w:spacing w:val="-2"/>
          <w:sz w:val="30"/>
          <w:szCs w:val="30"/>
        </w:rPr>
        <w:br/>
        <w:t xml:space="preserve">в сельской местности, при условии, что объемы потребления этих услуг находятся в пределах установленных законодательством норм и нормативов.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spacing w:val="-2"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автоматическое предоставление БЖС. Чтобы получить помощь по выявительному принципу, человеку ничего делать не нужно. Все сведения о нем находятся в единой информационной базе АИС ”Расчет – ЖКУ“. Предоставляется такая помощь социально уязвимым слоям населения (инвалидам, ветеранам, пенсионерам).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Cs/>
          <w:i/>
          <w:spacing w:val="-2"/>
          <w:sz w:val="30"/>
          <w:szCs w:val="30"/>
        </w:rPr>
        <w:t>Более 90% белорусских граждан субсидии получают по выявительному принципу.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 соответствии с Указом Президента Республики Беларусь от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7 июня 2018 г. № 225 ”О безналичных жилищных субсидиях“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система предоставления субсидий по выявительному принципу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расширена за счет включения отдельных социально уязвимых категорий граждан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: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F62329">
        <w:rPr>
          <w:rFonts w:ascii="Times New Roman" w:hAnsi="Times New Roman"/>
          <w:spacing w:val="-2"/>
          <w:sz w:val="30"/>
          <w:szCs w:val="30"/>
          <w:lang w:val="en-US"/>
        </w:rPr>
        <w:t>I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группы.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3. УЛУЧШЕНИЕ БЛАГОУСТРОЙСТВА НАСЕЛЕННЫХ ПУНКТОВ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”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Очень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И мы этот имидж не должны потерять“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, – констатировал Президент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Основными мероприятиями по благоустройству населенных пунктов в сфере ЖКХ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являются: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наружное освещение населенных пунктов;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реконструкция (модернизация) мостовых сооружений населенных пунктов.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 Беларуси установлен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норматив озелененности территорий населенных пунктов – 40%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За последние три года уровень озелененности населенных пунктов вырос: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в некоторых районах он достигает 60–65%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В ходе реализации республиканского плана мероприятий по наведению порядка на земле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за январь – август 2022 г.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произведена посадка 397,563 тыс. деревьев и 223,395 тыс. кустарников на придомовых и иных территориях населенных пунктов;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высажено 17 867,116 тыс. цветов в населенных пунктах;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высажено 12,086 тыс. деревьев и 9,48 тыс. кустарников вдоль автомобильных дорог.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Улучшение благоустройства населенных пунктов – это забота не только государства и соответствующих государственных служб, но и, в первую очередь, каждого из нас</w:t>
      </w:r>
      <w:r w:rsidRPr="00F62329">
        <w:rPr>
          <w:rFonts w:ascii="Times New Roman" w:hAnsi="Times New Roman"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Значительную роль в этом направлении играют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республиканские субботники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Также в каждом регионе стали традиционными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месячники по благоустройству и озеленению придомовых территорий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lastRenderedPageBreak/>
        <w:t xml:space="preserve">Глава государства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в июне 2022 г. заявил: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 xml:space="preserve">”Есть вопросы, которые люди могут и должны разделить с государством. Самое простейшее </w:t>
      </w:r>
      <w:r w:rsidRPr="00F62329">
        <w:rPr>
          <w:rFonts w:ascii="Cambria Math" w:hAnsi="Cambria Math" w:cs="Cambria Math"/>
          <w:b/>
          <w:i/>
          <w:spacing w:val="-2"/>
          <w:sz w:val="30"/>
          <w:szCs w:val="30"/>
        </w:rPr>
        <w:t>‒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 xml:space="preserve"> создавать уют и красоту своими руками и для себя, беречь чистоту в своих домах, дворах, на улицах в городах и поселках.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И как минимум сохранить то, что создано целыми поколениями белорусов до нас“</w:t>
      </w:r>
      <w:r w:rsidRPr="00F62329">
        <w:rPr>
          <w:rFonts w:ascii="Times New Roman" w:hAnsi="Times New Roman"/>
          <w:spacing w:val="-2"/>
          <w:sz w:val="30"/>
          <w:szCs w:val="30"/>
        </w:rPr>
        <w:t>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4. ИСПОЛЬЗОВАНИЕ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 xml:space="preserve">ИНФОРМАЦИОННЫХ ТЕХНОЛОГИЙ В СФЕРЕ ЖКХ. 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bCs/>
          <w:spacing w:val="-2"/>
          <w:sz w:val="30"/>
          <w:szCs w:val="30"/>
        </w:rPr>
        <w:t>РАБОТА С ОБРАЩЕНИЯМИ ГРАЖДАН И ЮРИДИЧЕСКИХ ЛИЦ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государственная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информационная система ”Жилищно-коммунальное хозяйство“ </w:t>
      </w:r>
      <w:r w:rsidRPr="00F62329">
        <w:rPr>
          <w:rFonts w:ascii="Times New Roman" w:hAnsi="Times New Roman"/>
          <w:spacing w:val="-2"/>
          <w:sz w:val="30"/>
          <w:szCs w:val="30"/>
        </w:rPr>
        <w:t>(ГИС ЖКХ), которая объединяет в себе следующие ресурсы: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автоматизированная система ”Диспетчерская служба“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(далее – Система);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республиканский портал ”Моя Республика“ 115.бел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– своего рода ”публичная витрина“ Системы. При этом граждане могут подавать заявки как с помощью портала, так и используя мобильное приложение либо единый телефонный номер 115;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автоматизированная информационная система ”Учет эксплуатационных затрат по жилому дому“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(АИС ”ДомУчет“)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геоинформационная система ”Интерактивная карта г.Минска“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г.Гродно; до конца 2022 года будет внедрена в г.Витебске и г.Лиде;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информационная система ”Инженерные сети“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(карта раскопок в г.Минске) – с апреля 2022 г. на карту столицы нанесены все планы по работам владельцев инженерных сетей. Система позволяет избегать конфликтных ситуаций при проведении работ, решить задачу по уменьшению количества </w:t>
      </w:r>
      <w:r w:rsidRPr="00F62329">
        <w:rPr>
          <w:rFonts w:ascii="Times New Roman" w:hAnsi="Times New Roman"/>
          <w:spacing w:val="-2"/>
          <w:sz w:val="30"/>
          <w:szCs w:val="30"/>
        </w:rPr>
        <w:lastRenderedPageBreak/>
        <w:t xml:space="preserve">повторных раскопок на одной территории, повысить качество работ за счет снижения числа ошибок в планировании работ, оптимизировать финансовые расходы на благоустройство территории.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В мессенджере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Telegram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запущен чат-бот ”Контакт-центр ЖКХ г.Минска“ (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@</w:t>
      </w:r>
      <w:r w:rsidRPr="00F62329">
        <w:rPr>
          <w:rFonts w:ascii="Times New Roman" w:hAnsi="Times New Roman"/>
          <w:b/>
          <w:spacing w:val="-2"/>
          <w:sz w:val="30"/>
          <w:szCs w:val="30"/>
          <w:lang w:val="en-US"/>
        </w:rPr>
        <w:t>portbelbot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Pr="00F62329">
        <w:rPr>
          <w:rFonts w:ascii="Times New Roman" w:hAnsi="Times New Roman"/>
          <w:spacing w:val="-2"/>
          <w:sz w:val="30"/>
          <w:szCs w:val="30"/>
        </w:rPr>
        <w:br/>
        <w:t xml:space="preserve">а также сроки отключения горячего водоснабжения летом по любому адресу.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 xml:space="preserve">Портале коммунальной грамотности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  <w:lang w:val="en-US"/>
        </w:rPr>
        <w:t>gkx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.</w:t>
      </w:r>
      <w:r w:rsidRPr="00F62329">
        <w:rPr>
          <w:rFonts w:ascii="Times New Roman" w:hAnsi="Times New Roman"/>
          <w:b/>
          <w:i/>
          <w:spacing w:val="-2"/>
          <w:sz w:val="30"/>
          <w:szCs w:val="30"/>
          <w:lang w:val="en-US"/>
        </w:rPr>
        <w:t>by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>, созданном на предприятии ”Жилкомиздат“.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spacing w:val="-2"/>
          <w:sz w:val="30"/>
          <w:szCs w:val="30"/>
        </w:rPr>
        <w:t>За 2021 год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в МЖКХ и в организации ЖКХ поступило около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70 тыс. обращений граждан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Это примерно на 3% меньше, чем в 2020 году.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 xml:space="preserve"> С 1 января по 30 сентября 2022 г.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по единому короткому телефонному номеру 115 и посредством интернет-портала 115.бел поступило более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1,88 млн. заявок и претензий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(по сравнению с аналогичным периодом прошлого года на 11,9% меньше),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оказано порядка 1,32 млн. консультаций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. Осуществляется контроль за своевременным реагированием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Анализ структуры тематики поступивших обращений показывает, что для граждан наиболее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проблемными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остаются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вопросы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деятельности товариществ собственников.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2329">
        <w:rPr>
          <w:rFonts w:ascii="Times New Roman" w:hAnsi="Times New Roman"/>
          <w:i/>
          <w:spacing w:val="-2"/>
          <w:sz w:val="30"/>
          <w:szCs w:val="30"/>
        </w:rPr>
        <w:t>По итогам проведенного Институтом социологии НАН Беларуси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br/>
        <w:t xml:space="preserve"> в сентябре 2022 г. телефонного опроса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на вопрос ”Удовлетворены ли вы работой жилищно-коммунальных служб в Вашем населенном пункте?“ утвердительно ответили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66,9%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респондентов (в том числе ”да“ – 42,4%, ”скорее да“ – 24,5%)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По данной тематике наблюдается положительная динамика в сравнении с 2019 годом (тогда ответ ”удовлетворен“ дали 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60,7%</w:t>
      </w:r>
      <w:r w:rsidRPr="00F62329">
        <w:rPr>
          <w:rFonts w:ascii="Times New Roman" w:hAnsi="Times New Roman"/>
          <w:i/>
          <w:spacing w:val="-2"/>
          <w:sz w:val="30"/>
          <w:szCs w:val="30"/>
        </w:rPr>
        <w:t xml:space="preserve"> опрошенных).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lastRenderedPageBreak/>
        <w:t xml:space="preserve">*** 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62329">
        <w:rPr>
          <w:rFonts w:ascii="Times New Roman" w:hAnsi="Times New Roman"/>
          <w:spacing w:val="-2"/>
          <w:sz w:val="30"/>
          <w:szCs w:val="30"/>
        </w:rPr>
        <w:t xml:space="preserve">Президент Республики Беларусь </w:t>
      </w:r>
      <w:r w:rsidRPr="00F62329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r w:rsidRPr="00F62329">
        <w:rPr>
          <w:rFonts w:ascii="Times New Roman" w:hAnsi="Times New Roman"/>
          <w:spacing w:val="-2"/>
          <w:sz w:val="30"/>
          <w:szCs w:val="30"/>
        </w:rPr>
        <w:t>, выступая 10 июня 2022 г. в г.Минске на семинаре-совещании ”Актуализация методов и форм работы с населением на местном уровне“ особо подчеркнул: ”</w:t>
      </w:r>
      <w:r w:rsidRPr="00F62329">
        <w:rPr>
          <w:rFonts w:ascii="Times New Roman" w:hAnsi="Times New Roman"/>
          <w:b/>
          <w:i/>
          <w:spacing w:val="-2"/>
          <w:sz w:val="30"/>
          <w:szCs w:val="30"/>
        </w:rPr>
        <w:t>Принципы эффективной обратной связи и доверительного диалога власти с людьми являются основополагающими во всей работе административно-управленческого аппарата.</w:t>
      </w:r>
      <w:r w:rsidRPr="00F62329">
        <w:rPr>
          <w:rFonts w:ascii="Times New Roman" w:hAnsi="Times New Roman"/>
          <w:spacing w:val="-2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глубже“.</w:t>
      </w:r>
    </w:p>
    <w:p w:rsidR="00DD4CC7" w:rsidRPr="00F62329" w:rsidRDefault="00DD4CC7" w:rsidP="00DD4CC7">
      <w:pPr>
        <w:pStyle w:val="2"/>
        <w:ind w:left="-709" w:right="-284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F62329">
        <w:rPr>
          <w:bCs/>
          <w:i/>
          <w:sz w:val="30"/>
          <w:szCs w:val="30"/>
        </w:rPr>
        <w:t>на основе информации</w:t>
      </w:r>
      <w:r w:rsidRPr="00F62329">
        <w:rPr>
          <w:bCs/>
          <w:i/>
          <w:sz w:val="30"/>
          <w:szCs w:val="30"/>
        </w:rPr>
        <w:br/>
        <w:t xml:space="preserve">Министерства антимонопольного регулирования и торговли, Министерства жилищно-коммунального хозяйства, </w:t>
      </w:r>
    </w:p>
    <w:p w:rsidR="00DD4CC7" w:rsidRPr="00F62329" w:rsidRDefault="00DD4CC7" w:rsidP="00DD4CC7">
      <w:pPr>
        <w:pStyle w:val="2"/>
        <w:ind w:left="-709" w:right="-284"/>
        <w:jc w:val="right"/>
        <w:rPr>
          <w:bCs/>
          <w:i/>
          <w:sz w:val="30"/>
          <w:szCs w:val="30"/>
        </w:rPr>
      </w:pPr>
      <w:r w:rsidRPr="00F62329">
        <w:rPr>
          <w:bCs/>
          <w:i/>
          <w:sz w:val="30"/>
          <w:szCs w:val="30"/>
        </w:rPr>
        <w:t xml:space="preserve">Министерства природных ресурсов и охраны окружающей среды, Министерства энергетики Республики Беларусь, </w:t>
      </w:r>
    </w:p>
    <w:p w:rsidR="00DD4CC7" w:rsidRDefault="00DD4CC7" w:rsidP="00DD4CC7">
      <w:pPr>
        <w:pStyle w:val="2"/>
        <w:ind w:left="-709" w:right="-284"/>
        <w:jc w:val="right"/>
        <w:rPr>
          <w:spacing w:val="-2"/>
          <w:sz w:val="30"/>
          <w:szCs w:val="30"/>
        </w:rPr>
      </w:pPr>
      <w:r w:rsidRPr="00F62329">
        <w:rPr>
          <w:bCs/>
          <w:i/>
          <w:sz w:val="30"/>
          <w:szCs w:val="30"/>
        </w:rPr>
        <w:t>материалов республиканского семинара-совещания ”Актуализация методов и форм работы с населением на местном уровне“ (9–10 июня 2022 г.), государственных СМИ</w:t>
      </w:r>
    </w:p>
    <w:p w:rsidR="00DD4CC7" w:rsidRPr="00EA0C57" w:rsidRDefault="00DD4CC7" w:rsidP="00DD4CC7">
      <w:pPr>
        <w:pageBreakBefore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30"/>
          <w:szCs w:val="30"/>
        </w:rPr>
      </w:pPr>
      <w:r w:rsidRPr="00EA0C57">
        <w:rPr>
          <w:rFonts w:ascii="Times New Roman" w:hAnsi="Times New Roman"/>
          <w:b/>
          <w:sz w:val="30"/>
          <w:szCs w:val="30"/>
        </w:rPr>
        <w:lastRenderedPageBreak/>
        <w:t>О НЕСЧАСТНЫХ СЛУЧАЯХ НА ПРОИЗВОДСТВЕ,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A0C57">
        <w:rPr>
          <w:rFonts w:ascii="Times New Roman" w:hAnsi="Times New Roman"/>
          <w:b/>
          <w:sz w:val="30"/>
          <w:szCs w:val="30"/>
        </w:rPr>
        <w:t>СВЯЗАННЫХ С ЭКСПЛУАТАЦИЕЙ ТРАНСПОРТНЫХ СРЕДСТВ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Реализация с</w:t>
      </w:r>
      <w:r w:rsidRPr="00EA0C57">
        <w:rPr>
          <w:rFonts w:ascii="Times New Roman" w:hAnsi="Times New Roman"/>
          <w:spacing w:val="-2"/>
          <w:sz w:val="30"/>
          <w:szCs w:val="30"/>
        </w:rPr>
        <w:t>овременн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производственн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процесс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невозможна без использования </w:t>
      </w:r>
      <w:r w:rsidRPr="00EA0C57">
        <w:rPr>
          <w:rFonts w:ascii="Times New Roman" w:hAnsi="Times New Roman"/>
          <w:spacing w:val="-2"/>
          <w:sz w:val="30"/>
          <w:szCs w:val="30"/>
        </w:rPr>
        <w:t>транспортны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средств, которые являются источниками повышенной опасности</w:t>
      </w:r>
      <w:r>
        <w:rPr>
          <w:rFonts w:ascii="Times New Roman" w:hAnsi="Times New Roman"/>
          <w:spacing w:val="-2"/>
          <w:sz w:val="30"/>
          <w:szCs w:val="30"/>
        </w:rPr>
        <w:t>. 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связи с </w:t>
      </w:r>
      <w:r>
        <w:rPr>
          <w:rFonts w:ascii="Times New Roman" w:hAnsi="Times New Roman"/>
          <w:spacing w:val="-2"/>
          <w:sz w:val="30"/>
          <w:szCs w:val="30"/>
        </w:rPr>
        <w:t>эти</w:t>
      </w:r>
      <w:r w:rsidRPr="00EA0C57">
        <w:rPr>
          <w:rFonts w:ascii="Times New Roman" w:hAnsi="Times New Roman"/>
          <w:spacing w:val="-2"/>
          <w:sz w:val="30"/>
          <w:szCs w:val="30"/>
        </w:rPr>
        <w:t>м задача работодателей принять все необходимые меры для организации их безопасной эксплуатации.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 истекшем периоде 2022 года в организациях Могилевской области при эксплуатации транспортных средств погибло 4 работника, 15 тяжело травмированы и 15 работников получили травмы, не относящиеся к числу тяжелых производственных травм. При этом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8 </w:t>
      </w:r>
      <w:r>
        <w:rPr>
          <w:rFonts w:ascii="Times New Roman" w:hAnsi="Times New Roman"/>
          <w:spacing w:val="-2"/>
          <w:sz w:val="30"/>
          <w:szCs w:val="30"/>
        </w:rPr>
        <w:t>человек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получили травмы в результате дорожно-транспортных происшествий.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Так, 12.02.2022 произошел несчастный случай со смертельным исходом с маляром завода «Могилевтрансмаш» открытого акционерного общества «МАЗ»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 «БЕЛАВТОМАЗ».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 проходил по проезду участка сборки, сдачи автомобильной техники и проведения приемо-сдаточных испытаний рядом с самосвалом с работающим двигателем. Когда он поравнялся с кабиной, самосвал внезапно начал движение вперед при этом толкнул потерпевшего, который упал и попал под задние колеса самосвала, получив при этом травмы не совместимые с жизнью.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явились: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нарушение водителем автомобиля требований инструкции по охране труда, </w:t>
      </w:r>
      <w:r>
        <w:rPr>
          <w:rFonts w:ascii="Times New Roman" w:hAnsi="Times New Roman"/>
          <w:spacing w:val="-2"/>
          <w:sz w:val="30"/>
          <w:szCs w:val="30"/>
        </w:rPr>
        <w:t xml:space="preserve">так как он не убедился </w:t>
      </w:r>
      <w:r w:rsidRPr="00EA0C57">
        <w:rPr>
          <w:rFonts w:ascii="Times New Roman" w:hAnsi="Times New Roman"/>
          <w:spacing w:val="-2"/>
          <w:sz w:val="30"/>
          <w:szCs w:val="30"/>
        </w:rPr>
        <w:t>перед началом движения</w:t>
      </w:r>
      <w:r>
        <w:rPr>
          <w:rFonts w:ascii="Times New Roman" w:hAnsi="Times New Roman"/>
          <w:spacing w:val="-2"/>
          <w:sz w:val="30"/>
          <w:szCs w:val="30"/>
        </w:rPr>
        <w:t xml:space="preserve"> в </w:t>
      </w:r>
      <w:r w:rsidRPr="00EA0C57">
        <w:rPr>
          <w:rFonts w:ascii="Times New Roman" w:hAnsi="Times New Roman"/>
          <w:spacing w:val="-2"/>
          <w:sz w:val="30"/>
          <w:szCs w:val="30"/>
        </w:rPr>
        <w:t>безопасности движения автомобиля для окружающих</w:t>
      </w:r>
      <w:r>
        <w:rPr>
          <w:rFonts w:ascii="Times New Roman" w:hAnsi="Times New Roman"/>
          <w:spacing w:val="-2"/>
          <w:sz w:val="30"/>
          <w:szCs w:val="30"/>
        </w:rPr>
        <w:t>;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несоблюдени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правил дорожного движения при передвижении;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том, что при встрече транспортного средства на проезде, он не остановился в безопасном месте, не пропустил транспорт, а продолжил движение.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В результате наезда фронтального универсального погрузчика «Амкодор-352 С-02» 28.02.2022 погиб животновод открытого акционерного общества «Говяды-агро»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холдинга», осуществлявший чистку кормового стола на ферме. 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определены: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потерпевшего и тракториста-машиниста сельскохозяйственного производства к выполнению работ без инструктажа по охране труда и проверки знаний по вопросам охраны труда;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неосуществление инженером по охране труда контроля за соблюдением законодательных и иных нормативных правовых актов по охране труда, что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 xml:space="preserve">выразилось в том, что он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не выявил и не пресек выполнение работ животноводом и трактористом-машинистом сельскохозяйственного производства, не прошедшими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инструктаж по охране труда и проверку знаний по вопросам охраны труда;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нахождении в зоне работы погрузчика;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 обеспечение трактористом-машинистом сельскохозяйственного производства безопасности окружающих в процессе выполнения работ, выразившееся в движении на погрузчике при нахождении в зоне его работы потерпевшего.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31.05.2022 был тяжело травмирован гражданин, оказывавший механизированные услуги на тракторе колесном МТЗ-82Л, по гражданско-правовому договору, заключенному с закрытым акционерным обществом «АСБ-Агро Тетерино».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Потерпевший, выполняя раздачу кормов в сарае молочно-товарного комплекса «Тетерино» на тракторе с кормораздатчиком РСК-12-2, обратил внимание, что опустилась задняя навеска трактора. Для того, чтобы поднять ее, он вышел из трактора и, не заглушая его и не отключая вращение карданного вала, подошел к задней навеске трактора с левой его стороны. Наклонившись в сторону навески, начал металлической цепью подцеплять опустившуюся навеску, в этот момент вращающийся карданный вал, не защищенный защитным кожухом, зацепил край незастегнутой куртки потерпевшего и сорвал ее с него. По инерции потерпевший ударился об вращающийся карданный вал, после чего его отбросило и он упал на землю.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к эксплуатации кормораздатчика РСК-12-2, не имеющего ограждения карданного вала, и непроведение потерпевшему инструктажа, стажировки и проверки знаний по вопросам охраны труда при выполнении работ по профессии тракторист-машинист сельскохозяйственного производства с применением кормораздатчика РСК-12-2 явились причинами данного несчастного случая.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02.06.2022 животновод  </w:t>
      </w:r>
      <w:r>
        <w:rPr>
          <w:rFonts w:ascii="Times New Roman" w:hAnsi="Times New Roman"/>
          <w:bCs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ткрытого акционерного общества «Сож-Агро» оказался зажатым между задним навесным устройством и правым колесом трактора. При этом продолжавшее вращаться колесо трактора тяжело травмировало живот, правую руку и правую ногу потерпевшего.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 эксплуатация трактора МТЗ 82 с неисправной тормозной системой, а также нарушение трактористом-машинистом сельскохозяйственного производства требований инструкции по охране труда, выразившееся в выполнении им работы на тракторе при имеющихся нарушениях требований охраны труда (неисправность тормозной системы), и в допуске к выполнению работ по присоединению карданного вала вакуумной станции к валу отбора мощности трактора, лица, не связанного с выполнением данной работы.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06.07.2022 в квартале 41 Любоничского лесничества  был обнаружен смертельно травмированный машинист трелевочной (лесозаготовительной) машины ГЛХУ «Бобруйский лесхоз», который был зажат между землей и рамой кабины опрокинувшегося ф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spacing w:val="-2"/>
          <w:sz w:val="30"/>
          <w:szCs w:val="30"/>
        </w:rPr>
        <w:t>рвардера Амкадор-2661. В настоящее время проводится специальное расследование.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истекшем периоде 2022 года зарегистрировано два несчастных случая, приведших к тяжелым производственным травмам,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с работниками, эксплуатирующими гужевой транспорт.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26.06.2022 при перегоне крупного рогатого скота был тяжело травмирован животновод открытого акционерного общества «Белыничский райагропромтехснаб», который, двигаясь на гужевом транспорте по крутому спуску, натянул вожжи для того, чтобы притормозить коня, и съехал на обочину. При этом конь лягнул его правой задней ногой, ударив потерпевшего копытом в правую руку.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Причинами несчастного случая, наряду с непредвиденным поведением животного, явились допуск к эксплуатации гужевой повозки, имеющей специально оборудованное сиденье, расположенное таким образом, что конь смог достать задней ногой ездового, допуск к управлению гужевой повозкой потерпевшего, не прошедшего производственное обучение и инструктаж по охране труда по профессии конюх,  а также нарушение потерпевшим требования локального правового акта по охране труда, что выразилось в управлении гужевым транспортом в состоянии алкогольного опьянения.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11.08.2022 с животноводом ОАО «Октябрь-Березки»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произошел несчастный случай, приведший к тяжелой производственной травме. Потерпевший производил перевозку на гужевом транспорте двух рулонов сена. При перевозке лошадь стала вести себя непредвиденно, резко увеличила скорость, перешла в «галоп», в результате чего потерпевший не удержался на повозке и упал на землю. Причиной несчастного случая явилось непредвиденное поведение животного.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дорожно-транспортных происшествий: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13.01.2022 произошел несчастный случай, не относящийся к числу тяжелых, с водителем автомобиля ОАО «Автомобильный парк № 3 г. Могилева». Причиной несчастного случая стало нарушение Правил дорожного движения потерпевшим.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03.03.2022 произошел тяжелый несчастный случай с работниками Осиповичский филиал Автопарк № 19 ОАО «Могилевоблавтотранс». Расследование не завершено;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22.03.2022 произошел групповой несчастный случай с водителем автомобиля, электромонтером по ремонту и обслуживанию электрооборудования и главным инженером Могилевской дистанции электроснабжения РУП «Могилевское отделение Белорусской железной дороги». Расследование не завершено.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25.05.2022 произошел несчастный случай, не относящийся к числу тяжелых, с кондуктором Бобруйского филиала Автобусный парк № 2 ОАО «Могилевоблавтотранс». Причиной несчастного случая стало нарушение Правил дорожного движения водителем автобуса;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26.06.2022 тяжело травмирован работник ОАО «Спецавтопредприятие», который, работая на проезжей части, был сбит движущимся автомобилем. Причиной несчастного случая явилось нарушение Правил дорожного движения самим потерпевшим;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05.07.2022 произошел несчастный случай с работниками Филиала Могилевского республиканского унитарного предприятия электроэнергетики «Могилевэнерго» «Вендорож». Причиной несчастного случая стало нарушение Правил дорожного движения самим потерпевшим.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Необходимо напомнить, что в соответствии с подпунктами 2.5 и 2.6 </w:t>
      </w:r>
      <w:r w:rsidRPr="00EA0C57">
        <w:rPr>
          <w:rFonts w:ascii="Times New Roman" w:hAnsi="Times New Roman"/>
          <w:spacing w:val="-2"/>
          <w:sz w:val="30"/>
          <w:szCs w:val="30"/>
        </w:rPr>
        <w:t>Комплекса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7, горрайисполкомам и организациям Могилевской области поручено обеспечить организацию проведения водителям автомобилей и работникам, совмещающим данную профессию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Для обеспечения безопасной эксплуатации 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Вместе с тем, в организациях области в истекш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>м периоде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2022 года зарегистрирован ряд несчастных случаев,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при техническом обслуживании и ремонте транспортных средств.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при проведении шиномонтажных работ 1 работник погиб, 4 работни</w:t>
      </w:r>
      <w:r>
        <w:rPr>
          <w:rFonts w:ascii="Times New Roman" w:hAnsi="Times New Roman"/>
          <w:spacing w:val="-2"/>
          <w:sz w:val="30"/>
          <w:szCs w:val="30"/>
        </w:rPr>
        <w:t>ка получили тяжелые травмы и 2 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легкие, при выполнении работ ремонту двигателя и трансмиссии травмы, не относящиеся к числу тяжелых, получили 3 работника, после завершения работы по замене масла в двигателе автомобиля упал с бампера и получил легкую травму водитель автомобиля, еще один водитель автомобиля упал при спуске из кабины транспортного средства, один работник был легко травмирован в результате взрыва аккумуляторной батареи.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 Департамента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 при эксплуатации транспортных средств; 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эксплуатацию неисправного гужевого транспорт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A0C57">
        <w:rPr>
          <w:rFonts w:ascii="Times New Roman" w:hAnsi="Times New Roman"/>
          <w:spacing w:val="-2"/>
          <w:sz w:val="30"/>
          <w:szCs w:val="30"/>
        </w:rPr>
        <w:t>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запретить допуск к управлению гужевым транспортом лиц, не прошедших инструктаж по охране труда;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случаи допуска работников к эксплуатации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к проведению ремонтных работ и работ по техническому обслуживанию транспортных средств допускать работников, имеющих соответствующую квалификацию по профессии, прошедших обучение, стажировку, инструктаж по охране труда, проверку знаний по вопросам охраны труда, обеспеченных средствами индивидуальной защиты;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информировать работников о способах и приемах безопасного выполнения ремонтных работ и работ по техническому обслуживанию транспортных средств;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неукоснительно проводить в установленном порядке предрейсовые и иные медицинские обследования водителей автомобилей;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организацию проведения водителям автомобилей и работникам, совмещающим данную профессию,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,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DD4CC7" w:rsidRPr="00EA0C5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Default="00DD4CC7" w:rsidP="00DD4CC7">
      <w:pPr>
        <w:pStyle w:val="2"/>
        <w:ind w:left="-709" w:right="-284"/>
        <w:jc w:val="right"/>
        <w:rPr>
          <w:bCs/>
          <w:i/>
          <w:sz w:val="30"/>
          <w:szCs w:val="30"/>
        </w:rPr>
      </w:pPr>
    </w:p>
    <w:p w:rsidR="00DD4CC7" w:rsidRDefault="00DD4CC7" w:rsidP="00DD4CC7">
      <w:pPr>
        <w:pStyle w:val="2"/>
        <w:ind w:left="-709" w:right="-284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им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ым</w:t>
      </w:r>
      <w:r w:rsidRPr="00EA0C57">
        <w:rPr>
          <w:bCs/>
          <w:i/>
          <w:sz w:val="30"/>
          <w:szCs w:val="30"/>
        </w:rPr>
        <w:t xml:space="preserve"> 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 w:rsidRPr="00EA0C57">
        <w:rPr>
          <w:bCs/>
          <w:i/>
          <w:sz w:val="30"/>
          <w:szCs w:val="30"/>
        </w:rPr>
        <w:t>Департамент</w:t>
      </w:r>
      <w:r>
        <w:rPr>
          <w:bCs/>
          <w:i/>
          <w:sz w:val="30"/>
          <w:szCs w:val="30"/>
        </w:rPr>
        <w:t>а</w:t>
      </w:r>
      <w:r w:rsidRPr="00EA0C57">
        <w:rPr>
          <w:bCs/>
          <w:i/>
          <w:sz w:val="30"/>
          <w:szCs w:val="30"/>
        </w:rPr>
        <w:t xml:space="preserve"> государственной инспекции труда </w:t>
      </w:r>
    </w:p>
    <w:p w:rsidR="00DD4CC7" w:rsidRPr="00EA0C57" w:rsidRDefault="00DD4CC7" w:rsidP="00DD4CC7">
      <w:pPr>
        <w:pStyle w:val="2"/>
        <w:ind w:left="-709" w:right="-284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Министерства труда и социальной защиты Республики Беларусь</w:t>
      </w:r>
    </w:p>
    <w:p w:rsidR="00DD4CC7" w:rsidRPr="00BB1C46" w:rsidRDefault="00DD4CC7" w:rsidP="00DD4CC7">
      <w:pPr>
        <w:pageBreakBefore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/>
          <w:b/>
          <w:sz w:val="30"/>
          <w:szCs w:val="30"/>
        </w:rPr>
      </w:pPr>
      <w:r w:rsidRPr="00BB1C46">
        <w:rPr>
          <w:rFonts w:ascii="Times New Roman" w:hAnsi="Times New Roman"/>
          <w:b/>
          <w:sz w:val="30"/>
          <w:szCs w:val="30"/>
        </w:rPr>
        <w:lastRenderedPageBreak/>
        <w:t>ОПЕРАТИВНАЯ ОБСТАНОВКА В ОБЛАСТИ. НЕОСТОРОЖНОЕ ОБРАЩЕНИЕ С ОГНЕМ ПРИ КУРЕНИИ. АКЦИЯ «НЕ ПРОЖИГАЙ СВОЮ ЖИЗНЬ!». ПЕЧНАЯ БЕЗОПАСНОСТЬ. ДЕТСКАЯ ШАЛОСТЬ С ОГНЕМ. ТОНКИЙ ЛЕД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За 10 месяцев текущего года в Могилевской области произошло 600 пожаров (в 2021 году – 656), погибло 68 человек (в 2021 году – 81 человек), в том числе 1 ребенок. Пострадало 48 человек, в том числе 3 ребенка. В результате пожаров уничтожено 121 строение, 40 единиц техники, 306 тонн грубых кормов.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Основны</w:t>
      </w:r>
      <w:r>
        <w:rPr>
          <w:rFonts w:ascii="Times New Roman" w:hAnsi="Times New Roman"/>
          <w:b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причин</w:t>
      </w:r>
      <w:r>
        <w:rPr>
          <w:rFonts w:ascii="Times New Roman" w:hAnsi="Times New Roman"/>
          <w:b/>
          <w:spacing w:val="-2"/>
          <w:sz w:val="30"/>
          <w:szCs w:val="30"/>
        </w:rPr>
        <w:t>ы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возникновения возгораний: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неосторожное обращение с огнём – 226 пожаров (в 2021 – 228 пожаров);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отопительного оборудования – 106 пожаров (в 2021 – 137 пожаров);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электрооборудования – 152 пожара (в 2021 – 176 пожаров);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дет</w:t>
      </w:r>
      <w:r>
        <w:rPr>
          <w:rFonts w:ascii="Times New Roman" w:hAnsi="Times New Roman"/>
          <w:spacing w:val="-2"/>
          <w:sz w:val="30"/>
          <w:szCs w:val="30"/>
        </w:rPr>
        <w:t>ские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шалости с огнем – 12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12 пожаров);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нарушение правил эксплуатации газовых устройств – 5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8 пожаров).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жилом фонде произошло 480 пожаров (в 2021 – 555 пожаров). Основная категория погибших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пенсионеры (41%) и неработающие (34% из общего числа погибших).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сельской местности произошло 311 пожаров, погибло 39 человек.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>Какова основная причина пожаров и гибели людей на них? Чтобы ответить на этот вопрос не обязательно быть работником МЧС, достаточно регулярно просматривать прессу и интернет. Практически ежедневно в огне</w:t>
      </w:r>
      <w:r>
        <w:rPr>
          <w:rFonts w:ascii="Times New Roman" w:hAnsi="Times New Roman"/>
          <w:spacing w:val="-2"/>
          <w:sz w:val="30"/>
          <w:szCs w:val="30"/>
        </w:rPr>
        <w:t xml:space="preserve"> из-за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незатушенной сигареты обрываются жизни.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еосторожно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обращени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огнем </w:t>
      </w:r>
      <w:r>
        <w:rPr>
          <w:rFonts w:ascii="Times New Roman" w:hAnsi="Times New Roman"/>
          <w:spacing w:val="-2"/>
          <w:sz w:val="30"/>
          <w:szCs w:val="30"/>
        </w:rPr>
        <w:t xml:space="preserve">стало причиной </w:t>
      </w:r>
      <w:r w:rsidRPr="00BB1C46">
        <w:rPr>
          <w:rFonts w:ascii="Times New Roman" w:hAnsi="Times New Roman"/>
          <w:spacing w:val="-2"/>
          <w:sz w:val="30"/>
          <w:szCs w:val="30"/>
        </w:rPr>
        <w:t>гиб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>л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59 человек, 38 из которых на момент возникновения пожара находились в состоянии алкогольного опьянения. Неприятный запах, окурки под кроватью, пустые бутылки из-под спиртного – вот привычные атрибуты жизни большинства погибших. Будут ли они  в пьяном угаре думать о своей безопасности? Вряд ли. Вот и расплачиваются за свою халатность собственной жизнью и нередко подвергают опасности жизнь окружающих.</w:t>
      </w:r>
    </w:p>
    <w:p w:rsidR="00DD4CC7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>20 октября в 01-28 ночи в службу МЧС поступило сообщение о пожаре частного жилого дома по пер. Новому в Кличеве. Местные жители заметили возгорание, когда пылала кровля. На полу в комнате спасателями без признаков жизни была обнаружена 51-летняя хозяйка. Погибшая проживала одна, нигде не работала, жила за счет случайных заработков, которые тратила на спиртное и сигареты.  Электричество в ее доме было отключено за неуплату еще в 2020 году.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lastRenderedPageBreak/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>28 октября около 8 часов вечера жители д. 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нное Славгородского района, услышав треск горящего шифера, позвонили по телефону 101. Дом горел открытым пламенем. Спасателями на полу в одной из комнат без признаков жизни был обнаружен проживающий в доме пенсионер 1958 г.р. В результате пожара уничтожена кровля, перекрытие и имущество. Домовладение принадлежало Лопатичскому сельскому исполнительному комитету, не электрифицировано, отопление печное.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Позднее обнаружение пожара не оставило шансов на спасение 42-летнего жителя аг. Павловичи Кировского района. Накануне пожара утром 29 октября он вернулся </w:t>
      </w:r>
      <w:r>
        <w:rPr>
          <w:rFonts w:ascii="Times New Roman" w:hAnsi="Times New Roman"/>
          <w:spacing w:val="-2"/>
          <w:sz w:val="30"/>
          <w:szCs w:val="30"/>
        </w:rPr>
        <w:t xml:space="preserve">с </w:t>
      </w:r>
      <w:r w:rsidRPr="00BB1C46">
        <w:rPr>
          <w:rFonts w:ascii="Times New Roman" w:hAnsi="Times New Roman"/>
          <w:spacing w:val="-2"/>
          <w:sz w:val="30"/>
          <w:szCs w:val="30"/>
        </w:rPr>
        <w:t>заработков из  Р</w:t>
      </w:r>
      <w:r>
        <w:rPr>
          <w:rFonts w:ascii="Times New Roman" w:hAnsi="Times New Roman"/>
          <w:spacing w:val="-2"/>
          <w:sz w:val="30"/>
          <w:szCs w:val="30"/>
        </w:rPr>
        <w:t xml:space="preserve">оссийской </w:t>
      </w:r>
      <w:r w:rsidRPr="00BB1C46">
        <w:rPr>
          <w:rFonts w:ascii="Times New Roman" w:hAnsi="Times New Roman"/>
          <w:spacing w:val="-2"/>
          <w:sz w:val="30"/>
          <w:szCs w:val="30"/>
        </w:rPr>
        <w:t>Ф</w:t>
      </w:r>
      <w:r>
        <w:rPr>
          <w:rFonts w:ascii="Times New Roman" w:hAnsi="Times New Roman"/>
          <w:spacing w:val="-2"/>
          <w:sz w:val="30"/>
          <w:szCs w:val="30"/>
        </w:rPr>
        <w:t>едерации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днем распивал спиртные напитки со своими знакомыми. 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коло половины двенадцатого ночи жилье запылало. В результате пожара уничтожена кровля, перекрытие, повреждены стены и имущество в доме.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Пример: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9 ноября около 7 часов вечера, проезжая по трассе вдоль д. Козлы Горецкого района, автомобилист заметил пылающий дом и вызвал МЧС. В одной из комнат спасателями без признаков жизни был обнаружен 47-летний сын хозяйки дома. Сама хозяйка умерла в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2021 году и сын, зарегистрированный в г. Орша, периодически приезжал в отчий дом. Мужчина нигде не работал, при наличии денежных средств употреблял  спиртное, курил.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акануне вместе со знакомым они употребляли спиртное.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Для привлечения внимания к проблеме пожаров и гибели людей из-за неосторожного обращения с огнем при курении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8 по 18 ноября в области проводится республиканская акция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«Не прожигай свою жизнь!»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Мероприятия акции проводятся в 2 этапа. Первый прошел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8 по 11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и затронул пункты приёма вторсырья, а также промышленные предприятия, общежития и другие места большого скопления людей. Вниманию участников были предложены тематические видеоролики об опасностях, которые таит в себе курение</w:t>
      </w:r>
      <w:r>
        <w:rPr>
          <w:rFonts w:ascii="Times New Roman" w:hAnsi="Times New Roman"/>
          <w:spacing w:val="-2"/>
          <w:sz w:val="30"/>
          <w:szCs w:val="30"/>
        </w:rPr>
        <w:t xml:space="preserve">. Кроме того, всем желающим была предоставлена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возможность побеседовать со специалистом и задать ему интересующие вопросы.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Второй этап проводится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14 по 18 </w:t>
      </w:r>
      <w:r w:rsidRPr="00226708">
        <w:rPr>
          <w:rFonts w:ascii="Times New Roman" w:hAnsi="Times New Roman"/>
          <w:b/>
          <w:spacing w:val="-2"/>
          <w:sz w:val="30"/>
          <w:szCs w:val="30"/>
        </w:rPr>
        <w:t>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 вузах, колледжах, лицеях, а также в центрах безопасности и других местах с массовым пребыванием людей. В программе: тематические конкурсы и дискотеки, открытые диалоги, фестивали КВН, конкурсы миниатюр и т.д.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Мероприятия для лиц, злоупотребляющих спиртными напитками, проводятся на базе отделений дневного пребывания при региональных наркологических диспансерах и включа</w:t>
      </w:r>
      <w:r>
        <w:rPr>
          <w:rFonts w:ascii="Times New Roman" w:hAnsi="Times New Roman"/>
          <w:spacing w:val="-2"/>
          <w:sz w:val="30"/>
          <w:szCs w:val="30"/>
        </w:rPr>
        <w:t>ю</w:t>
      </w:r>
      <w:r w:rsidRPr="00BB1C46">
        <w:rPr>
          <w:rFonts w:ascii="Times New Roman" w:hAnsi="Times New Roman"/>
          <w:spacing w:val="-2"/>
          <w:sz w:val="30"/>
          <w:szCs w:val="30"/>
        </w:rPr>
        <w:t>т в себя профилактическую беседу, просмотр тематического видеофильма, а также практические занятия, демонстрирующие последствия неосторожного обращения с огнём в быту.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lastRenderedPageBreak/>
        <w:t>III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С наступлением отопительного сезона значительно увеличивается число пожаров, происходящих в сельской местности. Домовладения с печным отоплением в осенне-зимний период – это одновременно комфорт и проблема, особенно для тех, кто вспоминает про печь только тогда, когда ее надо топить. Печное отопление требует регулярного и тщательного ухода.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Чтобы тепло домашнего очага было безопасным, необходимо: </w:t>
      </w:r>
    </w:p>
    <w:p w:rsidR="00DD4CC7" w:rsidRPr="000A7001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рочистить дымоход. Ведь скопившаяся в нем сажа не только ухудшает тягу, но и может впоследствии стать причиной возгорания.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>ечи, поверхности труб и стен, в которых проходят дымовые каналы, должны быть без трещин, а на чердаках – оштукатурены и побелены</w:t>
      </w:r>
      <w:r>
        <w:rPr>
          <w:rFonts w:ascii="Times New Roman" w:hAnsi="Times New Roman"/>
          <w:spacing w:val="-2"/>
          <w:sz w:val="30"/>
          <w:szCs w:val="30"/>
        </w:rPr>
        <w:t>, что позволит 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 </w:t>
      </w: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ыходе </w:t>
      </w:r>
      <w:r>
        <w:rPr>
          <w:rFonts w:ascii="Times New Roman" w:hAnsi="Times New Roman"/>
          <w:spacing w:val="-2"/>
          <w:sz w:val="30"/>
          <w:szCs w:val="30"/>
        </w:rPr>
        <w:t xml:space="preserve">даже небольшого количества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дыма </w:t>
      </w:r>
      <w:r>
        <w:rPr>
          <w:rFonts w:ascii="Times New Roman" w:hAnsi="Times New Roman"/>
          <w:spacing w:val="-2"/>
          <w:sz w:val="30"/>
          <w:szCs w:val="30"/>
        </w:rPr>
        <w:t xml:space="preserve"> обнаружить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место </w:t>
      </w:r>
      <w:r>
        <w:rPr>
          <w:rFonts w:ascii="Times New Roman" w:hAnsi="Times New Roman"/>
          <w:spacing w:val="-2"/>
          <w:sz w:val="30"/>
          <w:szCs w:val="30"/>
        </w:rPr>
        <w:t xml:space="preserve">расположения </w:t>
      </w:r>
      <w:r w:rsidRPr="00BB1C46">
        <w:rPr>
          <w:rFonts w:ascii="Times New Roman" w:hAnsi="Times New Roman"/>
          <w:spacing w:val="-2"/>
          <w:sz w:val="30"/>
          <w:szCs w:val="30"/>
        </w:rPr>
        <w:t>трещины.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еред топочной дверцей должен быть прибит лист </w:t>
      </w:r>
      <w:r>
        <w:rPr>
          <w:rFonts w:ascii="Times New Roman" w:hAnsi="Times New Roman"/>
          <w:spacing w:val="-2"/>
          <w:sz w:val="30"/>
          <w:szCs w:val="30"/>
        </w:rPr>
        <w:t xml:space="preserve">из </w:t>
      </w:r>
      <w:r w:rsidRPr="00BB1C46">
        <w:rPr>
          <w:rFonts w:ascii="Times New Roman" w:hAnsi="Times New Roman"/>
          <w:spacing w:val="-2"/>
          <w:sz w:val="30"/>
          <w:szCs w:val="30"/>
        </w:rPr>
        <w:t>негорюч</w:t>
      </w:r>
      <w:r>
        <w:rPr>
          <w:rFonts w:ascii="Times New Roman" w:hAnsi="Times New Roman"/>
          <w:spacing w:val="-2"/>
          <w:sz w:val="30"/>
          <w:szCs w:val="30"/>
        </w:rPr>
        <w:t>его  материала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располагаемый длинной его стороной вдоль печи. Подойдет плиточная или цементная основа.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складир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одежду и другие предметы на печи и в непосредственной близости к отопительному прибору.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з</w:t>
      </w:r>
      <w:r w:rsidRPr="00BB1C46">
        <w:rPr>
          <w:rFonts w:ascii="Times New Roman" w:hAnsi="Times New Roman"/>
          <w:spacing w:val="-2"/>
          <w:sz w:val="30"/>
          <w:szCs w:val="30"/>
        </w:rPr>
        <w:t>олу, шлак, уголь следует удалять в специально отведенное место, подальше от сгораемых строений;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перекаливат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печь. </w:t>
      </w: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родолжительную топку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заменять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2-3 протапливаниями в день.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оставлят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без присмотра топящиеся печи и не доверят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топку детям.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о избежание отравления угарным газом, не закрыват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заслонку печи, пока угли полностью не прогорят.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7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в Бобруйскую городскую больницу с диагнозом «острое отравление угарным газом» был госпитализирован 68-летний житель деревни Ступени.  Выяснилось, что он топил в доме печь и в результате преждевременного закрытия задвижки дымохода получил отравление угарным газом.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Этот газ опасен тем, что он не имеет ни цвета, ни запаха. И человек, даже бодрствуя, не чувствует, какая смертельная опасность его подстерегает.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Причиной отравления угарным газом является: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еисправная работа печи и дымохода (трещины в конструкции печи, забитый дымоход).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ахождение человека в очаге пожара.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</w:t>
      </w:r>
      <w:r w:rsidRPr="00BB1C46">
        <w:rPr>
          <w:rFonts w:ascii="Times New Roman" w:hAnsi="Times New Roman"/>
          <w:spacing w:val="-2"/>
          <w:sz w:val="30"/>
          <w:szCs w:val="30"/>
        </w:rPr>
        <w:t>ехническое обслуживание автомобиля в гараже или помещении с плохой вентиляцией, а также сон в автомобиле с включенным двигателем.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 xml:space="preserve">Наиболее эффективный способ избежать отравления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соблюдение требований безопасной эксплуатации печей, газовых котлов и водонагревателей. </w:t>
      </w:r>
      <w:r>
        <w:rPr>
          <w:rFonts w:ascii="Times New Roman" w:hAnsi="Times New Roman"/>
          <w:spacing w:val="-2"/>
          <w:sz w:val="30"/>
          <w:szCs w:val="30"/>
        </w:rPr>
        <w:t>Требуется п</w:t>
      </w:r>
      <w:r w:rsidRPr="00BB1C46">
        <w:rPr>
          <w:rFonts w:ascii="Times New Roman" w:hAnsi="Times New Roman"/>
          <w:spacing w:val="-2"/>
          <w:sz w:val="30"/>
          <w:szCs w:val="30"/>
        </w:rPr>
        <w:t>остоянно следит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т.д. Поэтому проверят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вентиляцию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регулярно.  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IV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Детская шалость с огнем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этот термин знаком многим и за ним стоят не только любопытство и баловство детей с огнем, но и фактор родительской беспечности.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6 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 в 15-14 в службу спасения позвонил испуганный 7-летний мальчик и сообщил о пожаре в квартире по улице Тишки Гартного в Могилеве. Диспетчер МЧС рассказал ребенку алгоритм действий и вывел его из задымленной квартиры. Мальчик не пострадал. Прибывшие спасатели оперативно ликвидировали возгорание, не дав огню уничтожить квартиру: повреждено ковровое покрытие, закопчена стена и уничтожено полотенце. Как выяснилось, пока родителей не было в доме,  мальчик нашел зажигалку и поджег полотенце в ванной. Когда огонь разгорелся, ребенок понял, что самостоятельно потушить его не сможет, испугался и позвонил по телефону 101.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Детей всегда тянет к опасностям, к запретному и неизведанному. </w:t>
      </w:r>
      <w:r>
        <w:rPr>
          <w:rFonts w:ascii="Times New Roman" w:hAnsi="Times New Roman"/>
          <w:spacing w:val="-2"/>
          <w:sz w:val="30"/>
          <w:szCs w:val="30"/>
        </w:rPr>
        <w:t>Им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нужно р</w:t>
      </w:r>
      <w:r w:rsidRPr="00BB1C46">
        <w:rPr>
          <w:rFonts w:ascii="Times New Roman" w:hAnsi="Times New Roman"/>
          <w:spacing w:val="-2"/>
          <w:sz w:val="30"/>
          <w:szCs w:val="30"/>
        </w:rPr>
        <w:t>асска</w:t>
      </w:r>
      <w:r>
        <w:rPr>
          <w:rFonts w:ascii="Times New Roman" w:hAnsi="Times New Roman"/>
          <w:spacing w:val="-2"/>
          <w:sz w:val="30"/>
          <w:szCs w:val="30"/>
        </w:rPr>
        <w:t>зывать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 том, что ни в коем случае нельзя баловаться со спичками, зажигалками,  использовать для розжига бензин, керосин и другие легковоспламеняющиеся жидкости. Не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</w:t>
      </w:r>
      <w:r w:rsidRPr="00BB1C46">
        <w:rPr>
          <w:rFonts w:ascii="Times New Roman" w:hAnsi="Times New Roman"/>
          <w:spacing w:val="-2"/>
          <w:sz w:val="30"/>
          <w:szCs w:val="30"/>
        </w:rPr>
        <w:t>провоцир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детей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опасные игры, оставляя в доступных местах эти опасные предметы. Уходя из дома, не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закрыва</w:t>
      </w:r>
      <w:r>
        <w:rPr>
          <w:rFonts w:ascii="Times New Roman" w:hAnsi="Times New Roman"/>
          <w:spacing w:val="-2"/>
          <w:sz w:val="30"/>
          <w:szCs w:val="30"/>
        </w:rPr>
        <w:t>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детей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на замок. </w:t>
      </w:r>
      <w:r>
        <w:rPr>
          <w:rFonts w:ascii="Times New Roman" w:hAnsi="Times New Roman"/>
          <w:spacing w:val="-2"/>
          <w:sz w:val="30"/>
          <w:szCs w:val="30"/>
        </w:rPr>
        <w:t>В таких ситуациях нужно о</w:t>
      </w:r>
      <w:r w:rsidRPr="00BB1C46">
        <w:rPr>
          <w:rFonts w:ascii="Times New Roman" w:hAnsi="Times New Roman"/>
          <w:spacing w:val="-2"/>
          <w:sz w:val="30"/>
          <w:szCs w:val="30"/>
        </w:rPr>
        <w:t>бязательно предупредит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соседей или родственников.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V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 На водоемах скоро появится ледян</w:t>
      </w:r>
      <w:r>
        <w:rPr>
          <w:rFonts w:ascii="Times New Roman" w:hAnsi="Times New Roman"/>
          <w:b/>
          <w:spacing w:val="-2"/>
          <w:sz w:val="30"/>
          <w:szCs w:val="30"/>
        </w:rPr>
        <w:t>ой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по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к</w:t>
      </w:r>
      <w:r>
        <w:rPr>
          <w:rFonts w:ascii="Times New Roman" w:hAnsi="Times New Roman"/>
          <w:b/>
          <w:spacing w:val="-2"/>
          <w:sz w:val="30"/>
          <w:szCs w:val="30"/>
        </w:rPr>
        <w:t>ров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Предвкушение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первой зимней рыбалки, </w:t>
      </w:r>
      <w:r>
        <w:rPr>
          <w:rFonts w:ascii="Times New Roman" w:hAnsi="Times New Roman"/>
          <w:spacing w:val="-2"/>
          <w:sz w:val="30"/>
          <w:szCs w:val="30"/>
        </w:rPr>
        <w:t xml:space="preserve">ощущения от </w:t>
      </w:r>
      <w:r w:rsidRPr="00BB1C46">
        <w:rPr>
          <w:rFonts w:ascii="Times New Roman" w:hAnsi="Times New Roman"/>
          <w:spacing w:val="-2"/>
          <w:sz w:val="30"/>
          <w:szCs w:val="30"/>
        </w:rPr>
        <w:t>хруст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льдинок под ножами ледобура и перв</w:t>
      </w:r>
      <w:r>
        <w:rPr>
          <w:rFonts w:ascii="Times New Roman" w:hAnsi="Times New Roman"/>
          <w:spacing w:val="-2"/>
          <w:sz w:val="30"/>
          <w:szCs w:val="30"/>
        </w:rPr>
        <w:t>ой пойманной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рыбк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из лунки, все это </w:t>
      </w:r>
      <w:r>
        <w:rPr>
          <w:rFonts w:ascii="Times New Roman" w:hAnsi="Times New Roman"/>
          <w:spacing w:val="-2"/>
          <w:sz w:val="30"/>
          <w:szCs w:val="30"/>
        </w:rPr>
        <w:t xml:space="preserve">отодвигает мысли о </w:t>
      </w:r>
      <w:r w:rsidRPr="00BB1C46">
        <w:rPr>
          <w:rFonts w:ascii="Times New Roman" w:hAnsi="Times New Roman"/>
          <w:spacing w:val="-2"/>
          <w:sz w:val="30"/>
          <w:szCs w:val="30"/>
        </w:rPr>
        <w:t>безопасност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</w:t>
      </w:r>
      <w:r>
        <w:rPr>
          <w:rFonts w:ascii="Times New Roman" w:hAnsi="Times New Roman"/>
          <w:spacing w:val="-2"/>
          <w:sz w:val="30"/>
          <w:szCs w:val="30"/>
        </w:rPr>
        <w:t>второстепенный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план. Результат такой беспечности плачевен: ежегодно в ледяной полынье гибнут люди.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За прошлый осенне-зимний  период на водоемах области погибло 4 рыбака.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Для того, чтобы не повторять трагических ошибок, </w:t>
      </w:r>
      <w:r w:rsidRPr="00BB1C46">
        <w:rPr>
          <w:rFonts w:ascii="Times New Roman" w:hAnsi="Times New Roman"/>
          <w:b/>
          <w:iCs/>
          <w:spacing w:val="-2"/>
          <w:sz w:val="30"/>
          <w:szCs w:val="30"/>
        </w:rPr>
        <w:t xml:space="preserve">необходимо знать: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прочный, белого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прочность его в 2 раза меньше, матово белый или с желтоватым оттенком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>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Если температура воздуха выше 0 градусов держится более трех дней, то прочность льда снижается на 25%.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То, чего делать нельзя: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обираться группами на отдельных участках льда.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риближаться к промоинам, трещинам, прорубям на льду.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ереходить водоем по льду в запрещенных местах. 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ыезжать на лед на мотоциклах, автомобилях вне переправ, а также скатываться на санках, лыжах с крутых берегов на тонкий лед.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Что делать, если Вы провалились в холодную воду: 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широко раскинув руки и ноги, откатитесь подальше и ползком добирайтесь до берега.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Если нужна ваша помощь: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DD4CC7" w:rsidRPr="00BB1C46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DD4CC7" w:rsidRPr="00F62329" w:rsidRDefault="00DD4CC7" w:rsidP="00DD4CC7">
      <w:pPr>
        <w:spacing w:after="0" w:line="240" w:lineRule="auto"/>
        <w:ind w:left="-709" w:right="-284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DD4CC7" w:rsidRDefault="00DD4CC7" w:rsidP="00DD4CC7">
      <w:pPr>
        <w:pStyle w:val="2"/>
        <w:ind w:left="-709" w:right="-284"/>
        <w:jc w:val="right"/>
        <w:rPr>
          <w:sz w:val="30"/>
          <w:szCs w:val="30"/>
        </w:rPr>
      </w:pPr>
    </w:p>
    <w:p w:rsidR="00DD4CC7" w:rsidRPr="00065F6B" w:rsidRDefault="00DD4CC7" w:rsidP="00DD4CC7">
      <w:pPr>
        <w:pStyle w:val="2"/>
        <w:ind w:left="-709" w:right="-284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DD4CC7" w:rsidRPr="00065F6B" w:rsidRDefault="00DD4CC7" w:rsidP="00DD4CC7">
      <w:pPr>
        <w:pStyle w:val="2"/>
        <w:ind w:left="-709" w:right="-284"/>
        <w:jc w:val="right"/>
        <w:rPr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:rsidR="00DD4CC7" w:rsidRDefault="00DD4CC7" w:rsidP="00DD4CC7">
      <w:pPr>
        <w:pStyle w:val="2"/>
        <w:ind w:left="-709" w:right="-284"/>
        <w:jc w:val="right"/>
        <w:rPr>
          <w:sz w:val="30"/>
          <w:szCs w:val="30"/>
        </w:rPr>
      </w:pPr>
    </w:p>
    <w:p w:rsidR="00DD4CC7" w:rsidRDefault="00DD4CC7" w:rsidP="00DD4CC7">
      <w:pPr>
        <w:pStyle w:val="2"/>
        <w:ind w:left="-709" w:right="-284"/>
        <w:jc w:val="right"/>
        <w:rPr>
          <w:sz w:val="30"/>
          <w:szCs w:val="30"/>
        </w:rPr>
      </w:pPr>
    </w:p>
    <w:p w:rsidR="00DD4CC7" w:rsidRDefault="00DD4CC7" w:rsidP="00DD4CC7">
      <w:pPr>
        <w:spacing w:line="240" w:lineRule="auto"/>
        <w:ind w:left="-709" w:right="-284"/>
      </w:pPr>
    </w:p>
    <w:sectPr w:rsidR="00DD4C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86" w:rsidRDefault="00244186" w:rsidP="00DD4CC7">
      <w:pPr>
        <w:spacing w:after="0" w:line="240" w:lineRule="auto"/>
      </w:pPr>
      <w:r>
        <w:separator/>
      </w:r>
    </w:p>
  </w:endnote>
  <w:endnote w:type="continuationSeparator" w:id="0">
    <w:p w:rsidR="00244186" w:rsidRDefault="00244186" w:rsidP="00DD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86" w:rsidRDefault="00244186" w:rsidP="00DD4CC7">
      <w:pPr>
        <w:spacing w:after="0" w:line="240" w:lineRule="auto"/>
      </w:pPr>
      <w:r>
        <w:separator/>
      </w:r>
    </w:p>
  </w:footnote>
  <w:footnote w:type="continuationSeparator" w:id="0">
    <w:p w:rsidR="00244186" w:rsidRDefault="00244186" w:rsidP="00DD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24684"/>
      <w:docPartObj>
        <w:docPartGallery w:val="Page Numbers (Top of Page)"/>
        <w:docPartUnique/>
      </w:docPartObj>
    </w:sdtPr>
    <w:sdtContent>
      <w:p w:rsidR="00DD4CC7" w:rsidRDefault="00DD4C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4CC7" w:rsidRDefault="00DD4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7"/>
    <w:rsid w:val="00244186"/>
    <w:rsid w:val="00D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1E199"/>
  <w15:chartTrackingRefBased/>
  <w15:docId w15:val="{8190878D-7C90-4FAE-8C47-EBB99C59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4CC7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4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CC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C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8377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2022-11-15T06:44:00Z</dcterms:created>
  <dcterms:modified xsi:type="dcterms:W3CDTF">2022-11-15T06:45:00Z</dcterms:modified>
</cp:coreProperties>
</file>