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BE" w:rsidRDefault="00465742">
      <w:r>
        <w:rPr>
          <w:noProof/>
          <w:lang w:eastAsia="ru-RU"/>
        </w:rPr>
        <w:drawing>
          <wp:anchor distT="0" distB="2286" distL="114300" distR="114300" simplePos="0" relativeHeight="251659264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-889635</wp:posOffset>
            </wp:positionV>
            <wp:extent cx="10576560" cy="6677025"/>
            <wp:effectExtent l="19050" t="0" r="0" b="0"/>
            <wp:wrapNone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Default="00121DBE" w:rsidP="00121DBE"/>
    <w:p w:rsidR="00324A31" w:rsidRDefault="00324A31" w:rsidP="00121DBE"/>
    <w:p w:rsidR="00121DBE" w:rsidRDefault="00465742" w:rsidP="00121DBE">
      <w:bookmarkStart w:id="0" w:name="_GoBack"/>
      <w:r>
        <w:rPr>
          <w:noProof/>
          <w:lang w:eastAsia="ru-RU"/>
        </w:rPr>
        <w:lastRenderedPageBreak/>
        <w:drawing>
          <wp:anchor distT="0" distB="2286" distL="114300" distR="114300" simplePos="0" relativeHeight="251660288" behindDoc="1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-705485</wp:posOffset>
            </wp:positionV>
            <wp:extent cx="10631170" cy="6614160"/>
            <wp:effectExtent l="19050" t="0" r="0" b="0"/>
            <wp:wrapNone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bookmarkEnd w:id="0"/>
    </w:p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Default="00121DBE" w:rsidP="00121DBE"/>
    <w:p w:rsidR="00121DBE" w:rsidRDefault="00121DBE" w:rsidP="00121DBE"/>
    <w:p w:rsidR="00121DBE" w:rsidRDefault="00465742" w:rsidP="00121DBE">
      <w:r>
        <w:rPr>
          <w:noProof/>
          <w:lang w:eastAsia="ru-RU"/>
        </w:rPr>
        <w:drawing>
          <wp:anchor distT="0" distB="2286" distL="114300" distR="114300" simplePos="0" relativeHeight="251661312" behindDoc="1" locked="0" layoutInCell="1" allowOverlap="1">
            <wp:simplePos x="0" y="0"/>
            <wp:positionH relativeFrom="column">
              <wp:posOffset>-694055</wp:posOffset>
            </wp:positionH>
            <wp:positionV relativeFrom="paragraph">
              <wp:posOffset>-943610</wp:posOffset>
            </wp:positionV>
            <wp:extent cx="10631170" cy="6614160"/>
            <wp:effectExtent l="0" t="0" r="0" b="0"/>
            <wp:wrapNone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Pr="00121DBE" w:rsidRDefault="00121DBE" w:rsidP="00121DBE"/>
    <w:p w:rsidR="00121DBE" w:rsidRDefault="00121DBE" w:rsidP="00121DBE"/>
    <w:p w:rsidR="00121DBE" w:rsidRDefault="00121DBE" w:rsidP="00121DBE">
      <w:pPr>
        <w:ind w:firstLine="708"/>
      </w:pPr>
    </w:p>
    <w:p w:rsidR="00CD24B5" w:rsidRDefault="00465742" w:rsidP="00121DBE">
      <w:pPr>
        <w:ind w:firstLine="708"/>
      </w:pPr>
      <w:r>
        <w:rPr>
          <w:noProof/>
          <w:lang w:eastAsia="ru-RU"/>
        </w:rPr>
        <w:drawing>
          <wp:anchor distT="0" distB="1016" distL="114300" distR="114300" simplePos="0" relativeHeight="251662336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-943610</wp:posOffset>
            </wp:positionV>
            <wp:extent cx="10625455" cy="6614160"/>
            <wp:effectExtent l="0" t="0" r="4445" b="0"/>
            <wp:wrapNone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D24B5" w:rsidRPr="00CD24B5" w:rsidRDefault="00CD24B5" w:rsidP="00CD24B5"/>
    <w:p w:rsidR="00CD24B5" w:rsidRPr="00CD24B5" w:rsidRDefault="00CD24B5" w:rsidP="00CD24B5"/>
    <w:p w:rsidR="00CD24B5" w:rsidRPr="00CD24B5" w:rsidRDefault="00CD24B5" w:rsidP="00CD24B5"/>
    <w:p w:rsidR="00CD24B5" w:rsidRPr="00CD24B5" w:rsidRDefault="00CD24B5" w:rsidP="00CD24B5"/>
    <w:p w:rsidR="00CD24B5" w:rsidRPr="00CD24B5" w:rsidRDefault="00CD24B5" w:rsidP="00CD24B5"/>
    <w:p w:rsidR="00CD24B5" w:rsidRPr="00CD24B5" w:rsidRDefault="00CD24B5" w:rsidP="00CD24B5"/>
    <w:p w:rsidR="00CD24B5" w:rsidRPr="00CD24B5" w:rsidRDefault="00CD24B5" w:rsidP="00CD24B5"/>
    <w:p w:rsidR="00CD24B5" w:rsidRPr="00CD24B5" w:rsidRDefault="00CD24B5" w:rsidP="00CD24B5"/>
    <w:p w:rsidR="00CD24B5" w:rsidRPr="00CD24B5" w:rsidRDefault="00CD24B5" w:rsidP="00CD24B5"/>
    <w:p w:rsidR="00CD24B5" w:rsidRPr="00CD24B5" w:rsidRDefault="00CD24B5" w:rsidP="00CD24B5"/>
    <w:p w:rsidR="00CD24B5" w:rsidRPr="00CD24B5" w:rsidRDefault="00CD24B5" w:rsidP="00CD24B5"/>
    <w:p w:rsidR="00CD24B5" w:rsidRPr="00CD24B5" w:rsidRDefault="00CD24B5" w:rsidP="00CD24B5"/>
    <w:p w:rsidR="00CD24B5" w:rsidRPr="00CD24B5" w:rsidRDefault="00CD24B5" w:rsidP="00CD24B5"/>
    <w:p w:rsidR="00CD24B5" w:rsidRPr="00CD24B5" w:rsidRDefault="00CD24B5" w:rsidP="00CD24B5"/>
    <w:p w:rsidR="00CD24B5" w:rsidRPr="00CD24B5" w:rsidRDefault="00CD24B5" w:rsidP="00CD24B5"/>
    <w:p w:rsidR="00CD24B5" w:rsidRPr="00CD24B5" w:rsidRDefault="00CD24B5" w:rsidP="00CD24B5"/>
    <w:p w:rsidR="00CD24B5" w:rsidRDefault="00CD24B5" w:rsidP="00CD24B5"/>
    <w:p w:rsidR="00121DBE" w:rsidRDefault="00CD24B5" w:rsidP="00CD24B5">
      <w:pPr>
        <w:tabs>
          <w:tab w:val="left" w:pos="6705"/>
        </w:tabs>
      </w:pPr>
      <w:r>
        <w:tab/>
      </w:r>
    </w:p>
    <w:p w:rsidR="00970042" w:rsidRDefault="00CD24B5" w:rsidP="00CD24B5">
      <w:pPr>
        <w:tabs>
          <w:tab w:val="left" w:pos="6705"/>
        </w:tabs>
      </w:pPr>
      <w:r w:rsidRPr="00CD24B5">
        <w:rPr>
          <w:noProof/>
          <w:lang w:eastAsia="ru-RU"/>
        </w:rPr>
        <w:drawing>
          <wp:anchor distT="0" distB="1016" distL="114300" distR="114300" simplePos="0" relativeHeight="251664384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-794385</wp:posOffset>
            </wp:positionV>
            <wp:extent cx="10629900" cy="6609715"/>
            <wp:effectExtent l="0" t="0" r="0" b="635"/>
            <wp:wrapNone/>
            <wp:docPr id="1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Default="00970042" w:rsidP="00970042"/>
    <w:p w:rsidR="00970042" w:rsidRDefault="00970042">
      <w:pPr>
        <w:spacing w:after="0" w:line="240" w:lineRule="auto"/>
      </w:pPr>
      <w:r>
        <w:br w:type="page"/>
      </w:r>
    </w:p>
    <w:p w:rsidR="00970042" w:rsidRDefault="00970042" w:rsidP="00970042">
      <w:r w:rsidRPr="00970042">
        <w:rPr>
          <w:noProof/>
          <w:lang w:eastAsia="ru-RU"/>
        </w:rPr>
        <w:drawing>
          <wp:anchor distT="0" distB="1016" distL="114300" distR="114300" simplePos="0" relativeHeight="251666432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-794385</wp:posOffset>
            </wp:positionV>
            <wp:extent cx="10629900" cy="6609715"/>
            <wp:effectExtent l="0" t="0" r="0" b="635"/>
            <wp:wrapNone/>
            <wp:docPr id="2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Pr="00970042" w:rsidRDefault="00970042" w:rsidP="00970042"/>
    <w:p w:rsidR="00970042" w:rsidRDefault="00970042" w:rsidP="00970042"/>
    <w:p w:rsidR="00CD24B5" w:rsidRPr="00970042" w:rsidRDefault="00CD24B5" w:rsidP="00970042"/>
    <w:sectPr w:rsidR="00CD24B5" w:rsidRPr="00970042" w:rsidSect="00637E00">
      <w:pgSz w:w="16838" w:h="11906" w:orient="landscape"/>
      <w:pgMar w:top="1701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7A7173"/>
    <w:rsid w:val="00011790"/>
    <w:rsid w:val="00085E70"/>
    <w:rsid w:val="00092357"/>
    <w:rsid w:val="00096301"/>
    <w:rsid w:val="000D34ED"/>
    <w:rsid w:val="00121DBE"/>
    <w:rsid w:val="00132101"/>
    <w:rsid w:val="00167A49"/>
    <w:rsid w:val="00181044"/>
    <w:rsid w:val="00207F64"/>
    <w:rsid w:val="00283974"/>
    <w:rsid w:val="002A4F48"/>
    <w:rsid w:val="002D5695"/>
    <w:rsid w:val="0030214B"/>
    <w:rsid w:val="00324A31"/>
    <w:rsid w:val="00366255"/>
    <w:rsid w:val="00465742"/>
    <w:rsid w:val="00531EDA"/>
    <w:rsid w:val="00637E00"/>
    <w:rsid w:val="0066680B"/>
    <w:rsid w:val="006A0AB8"/>
    <w:rsid w:val="006A54D3"/>
    <w:rsid w:val="006E2F2A"/>
    <w:rsid w:val="006F3C6B"/>
    <w:rsid w:val="007A7173"/>
    <w:rsid w:val="00816680"/>
    <w:rsid w:val="00951EA0"/>
    <w:rsid w:val="00970042"/>
    <w:rsid w:val="009D19D2"/>
    <w:rsid w:val="009D248A"/>
    <w:rsid w:val="009D73D4"/>
    <w:rsid w:val="00A13C0D"/>
    <w:rsid w:val="00AB032E"/>
    <w:rsid w:val="00BE4EE4"/>
    <w:rsid w:val="00CC3EE8"/>
    <w:rsid w:val="00CD24B5"/>
    <w:rsid w:val="00DE2253"/>
    <w:rsid w:val="00E16E69"/>
    <w:rsid w:val="00E53D06"/>
    <w:rsid w:val="00EA504F"/>
    <w:rsid w:val="00EE018D"/>
    <w:rsid w:val="00F02BC5"/>
    <w:rsid w:val="00F80B89"/>
    <w:rsid w:val="00FA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3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3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view3D>
      <c:rotX val="6"/>
      <c:hPercent val="39"/>
      <c:rotY val="25"/>
      <c:depthPercent val="70"/>
      <c:rAngAx val="1"/>
    </c:view3D>
    <c:plotArea>
      <c:layout>
        <c:manualLayout>
          <c:layoutTarget val="inner"/>
          <c:xMode val="edge"/>
          <c:yMode val="edge"/>
          <c:x val="3.5947415794927663E-4"/>
          <c:y val="0.17947394236205499"/>
          <c:w val="0.99964052584205032"/>
          <c:h val="0.6679835705272934"/>
        </c:manualLayout>
      </c:layout>
      <c:bar3DChart>
        <c:barDir val="col"/>
        <c:grouping val="standard"/>
        <c:ser>
          <c:idx val="0"/>
          <c:order val="0"/>
          <c:dLbls>
            <c:dLbl>
              <c:idx val="0"/>
              <c:layout>
                <c:manualLayout>
                  <c:x val="1.4363925811028763E-2"/>
                  <c:y val="-3.3593474947414909E-2"/>
                </c:manualLayout>
              </c:layout>
              <c:showVal val="1"/>
            </c:dLbl>
            <c:dLbl>
              <c:idx val="1"/>
              <c:layout>
                <c:manualLayout>
                  <c:x val="1.1626737892866288E-2"/>
                  <c:y val="-3.0203644438940261E-2"/>
                </c:manualLayout>
              </c:layout>
              <c:showVal val="1"/>
            </c:dLbl>
            <c:dLbl>
              <c:idx val="2"/>
              <c:layout>
                <c:manualLayout>
                  <c:x val="1.3025865212448867E-2"/>
                  <c:y val="-3.0203644438940261E-2"/>
                </c:manualLayout>
              </c:layout>
              <c:showVal val="1"/>
            </c:dLbl>
            <c:dLbl>
              <c:idx val="3"/>
              <c:layout>
                <c:manualLayout>
                  <c:x val="1.6493434274638012E-2"/>
                  <c:y val="-2.7025095340345067E-2"/>
                </c:manualLayout>
              </c:layout>
              <c:showVal val="1"/>
            </c:dLbl>
            <c:dLbl>
              <c:idx val="4"/>
              <c:layout>
                <c:manualLayout>
                  <c:x val="1.5422516389282452E-2"/>
                  <c:y val="-1.8233748232259726E-2"/>
                </c:manualLayout>
              </c:layout>
              <c:showVal val="1"/>
            </c:dLbl>
            <c:dLbl>
              <c:idx val="5"/>
              <c:layout>
                <c:manualLayout>
                  <c:x val="1.4121152804754853E-2"/>
                  <c:y val="-1.5266177987703572E-2"/>
                </c:manualLayout>
              </c:layout>
              <c:showVal val="1"/>
            </c:dLbl>
            <c:dLbl>
              <c:idx val="6"/>
              <c:layout>
                <c:manualLayout>
                  <c:x val="1.3452217213376281E-2"/>
                  <c:y val="-2.2256969136612053E-2"/>
                </c:manualLayout>
              </c:layout>
              <c:showVal val="1"/>
            </c:dLbl>
            <c:dLbl>
              <c:idx val="7"/>
              <c:layout>
                <c:manualLayout>
                  <c:x val="1.3817313077478252E-2"/>
                  <c:y val="-2.0456564455355462E-2"/>
                </c:manualLayout>
              </c:layout>
              <c:showVal val="1"/>
            </c:dLbl>
            <c:dLbl>
              <c:idx val="8"/>
              <c:layout>
                <c:manualLayout>
                  <c:x val="1.418240894158013E-2"/>
                  <c:y val="-2.2362609841551397E-2"/>
                </c:manualLayout>
              </c:layout>
              <c:showVal val="1"/>
            </c:dLbl>
            <c:dLbl>
              <c:idx val="9"/>
              <c:layout>
                <c:manualLayout>
                  <c:x val="1.4547504805682225E-2"/>
                  <c:y val="-1.8656008496178097E-2"/>
                </c:manualLayout>
              </c:layout>
              <c:showVal val="1"/>
            </c:dLbl>
            <c:dLbl>
              <c:idx val="10"/>
              <c:layout>
                <c:manualLayout>
                  <c:x val="1.491260066978408E-2"/>
                  <c:y val="-1.8972779333077359E-2"/>
                </c:manualLayout>
              </c:layout>
              <c:showVal val="1"/>
            </c:dLbl>
            <c:dLbl>
              <c:idx val="11"/>
              <c:layout>
                <c:manualLayout>
                  <c:x val="1.5277696533886359E-2"/>
                  <c:y val="-1.5371818692643468E-2"/>
                </c:manualLayout>
              </c:layout>
              <c:showVal val="1"/>
            </c:dLbl>
            <c:dLbl>
              <c:idx val="12"/>
              <c:layout>
                <c:manualLayout>
                  <c:x val="1.6676918561380063E-2"/>
                  <c:y val="-1.8972779333077359E-2"/>
                </c:manualLayout>
              </c:layout>
              <c:showVal val="1"/>
            </c:dLbl>
            <c:showVal val="1"/>
          </c:dLbls>
          <c:cat>
            <c:numRef>
              <c:f>Sheet1!$B$2:$R$2</c:f>
              <c:numCache>
                <c:formatCode>General</c:formatCode>
                <c:ptCount val="17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</c:numCache>
            </c:numRef>
          </c:cat>
          <c:val>
            <c:numRef>
              <c:f>Sheet1!$B$1:$R$1</c:f>
              <c:numCache>
                <c:formatCode>General</c:formatCode>
                <c:ptCount val="17"/>
                <c:pt idx="0">
                  <c:v>14</c:v>
                </c:pt>
                <c:pt idx="1">
                  <c:v>8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9</c:v>
                </c:pt>
                <c:pt idx="6">
                  <c:v>5</c:v>
                </c:pt>
                <c:pt idx="7">
                  <c:v>6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7</c:v>
                </c:pt>
                <c:pt idx="12">
                  <c:v>3</c:v>
                </c:pt>
                <c:pt idx="13">
                  <c:v>2</c:v>
                </c:pt>
                <c:pt idx="14">
                  <c:v>4</c:v>
                </c:pt>
                <c:pt idx="15">
                  <c:v>2</c:v>
                </c:pt>
                <c:pt idx="16">
                  <c:v>4</c:v>
                </c:pt>
              </c:numCache>
            </c:numRef>
          </c:val>
        </c:ser>
        <c:gapWidth val="130"/>
        <c:gapDepth val="0"/>
        <c:shape val="cylinder"/>
        <c:axId val="136313856"/>
        <c:axId val="148255488"/>
        <c:axId val="136155584"/>
      </c:bar3DChart>
      <c:catAx>
        <c:axId val="136313856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48255488"/>
        <c:crosses val="autoZero"/>
        <c:auto val="1"/>
        <c:lblAlgn val="ctr"/>
        <c:lblOffset val="100"/>
        <c:tickLblSkip val="1"/>
        <c:tickMarkSkip val="1"/>
      </c:catAx>
      <c:valAx>
        <c:axId val="148255488"/>
        <c:scaling>
          <c:orientation val="minMax"/>
        </c:scaling>
        <c:axPos val="l"/>
        <c:majorGridlines/>
        <c:numFmt formatCode="General" sourceLinked="1"/>
        <c:tickLblPos val="none"/>
        <c:crossAx val="136313856"/>
        <c:crosses val="autoZero"/>
        <c:crossBetween val="between"/>
      </c:valAx>
      <c:serAx>
        <c:axId val="136155584"/>
        <c:scaling>
          <c:orientation val="minMax"/>
        </c:scaling>
        <c:axPos val="b"/>
        <c:majorTickMark val="none"/>
        <c:tickLblPos val="none"/>
        <c:crossAx val="148255488"/>
        <c:crosses val="autoZero"/>
        <c:tickMarkSkip val="1"/>
      </c:serAx>
    </c:plotArea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view3D>
      <c:rotX val="6"/>
      <c:hPercent val="39"/>
      <c:rotY val="25"/>
      <c:depthPercent val="70"/>
      <c:rAngAx val="1"/>
    </c:view3D>
    <c:plotArea>
      <c:layout>
        <c:manualLayout>
          <c:layoutTarget val="inner"/>
          <c:xMode val="edge"/>
          <c:yMode val="edge"/>
          <c:x val="5.4603585494352911E-4"/>
          <c:y val="0.19084978289004206"/>
          <c:w val="0.99276111685625557"/>
          <c:h val="0.57118644067796509"/>
        </c:manualLayout>
      </c:layout>
      <c:bar3DChart>
        <c:barDir val="col"/>
        <c:grouping val="standard"/>
        <c:ser>
          <c:idx val="0"/>
          <c:order val="0"/>
          <c:dLbls>
            <c:dLbl>
              <c:idx val="0"/>
              <c:layout>
                <c:manualLayout>
                  <c:x val="1.7019812496099334E-2"/>
                  <c:y val="-5.0585290427325423E-2"/>
                </c:manualLayout>
              </c:layout>
              <c:showVal val="1"/>
            </c:dLbl>
            <c:dLbl>
              <c:idx val="1"/>
              <c:layout>
                <c:manualLayout>
                  <c:x val="1.8836928466433481E-2"/>
                  <c:y val="-4.9694109635211182E-2"/>
                </c:manualLayout>
              </c:layout>
              <c:showVal val="1"/>
            </c:dLbl>
            <c:dLbl>
              <c:idx val="2"/>
              <c:layout>
                <c:manualLayout>
                  <c:x val="1.7745107307853943E-2"/>
                  <c:y val="-4.7463270554278458E-2"/>
                </c:manualLayout>
              </c:layout>
              <c:showVal val="1"/>
            </c:dLbl>
            <c:dLbl>
              <c:idx val="3"/>
              <c:layout>
                <c:manualLayout>
                  <c:x val="1.8528097114796208E-2"/>
                  <c:y val="-4.8267156294321684E-2"/>
                </c:manualLayout>
              </c:layout>
              <c:showVal val="1"/>
            </c:dLbl>
            <c:dLbl>
              <c:idx val="4"/>
              <c:layout>
                <c:manualLayout>
                  <c:x val="1.5368023629432773E-2"/>
                  <c:y val="-5.0139700031268324E-2"/>
                </c:manualLayout>
              </c:layout>
              <c:showVal val="1"/>
            </c:dLbl>
            <c:dLbl>
              <c:idx val="5"/>
              <c:layout>
                <c:manualLayout>
                  <c:x val="1.821926576315892E-2"/>
                  <c:y val="-4.9694109635211182E-2"/>
                </c:manualLayout>
              </c:layout>
              <c:showVal val="1"/>
            </c:dLbl>
            <c:dLbl>
              <c:idx val="6"/>
              <c:layout>
                <c:manualLayout>
                  <c:x val="1.9195696931363259E-2"/>
                  <c:y val="-3.7471407511564039E-2"/>
                </c:manualLayout>
              </c:layout>
              <c:showVal val="1"/>
            </c:dLbl>
            <c:dLbl>
              <c:idx val="7"/>
              <c:layout>
                <c:manualLayout>
                  <c:x val="1.8524218173848615E-2"/>
                  <c:y val="-3.7471407511564039E-2"/>
                </c:manualLayout>
              </c:layout>
              <c:showVal val="1"/>
            </c:dLbl>
            <c:dLbl>
              <c:idx val="8"/>
              <c:layout>
                <c:manualLayout>
                  <c:x val="1.9307207980790803E-2"/>
                  <c:y val="-4.2646486704914222E-2"/>
                </c:manualLayout>
              </c:layout>
              <c:showVal val="1"/>
            </c:dLbl>
            <c:dLbl>
              <c:idx val="9"/>
              <c:layout>
                <c:manualLayout>
                  <c:x val="2.0703981550059952E-2"/>
                  <c:y val="-4.7999194380973907E-2"/>
                </c:manualLayout>
              </c:layout>
              <c:showVal val="1"/>
            </c:dLbl>
            <c:dLbl>
              <c:idx val="10"/>
              <c:layout>
                <c:manualLayout>
                  <c:x val="1.9612066153963204E-2"/>
                  <c:y val="-4.1665123760081836E-2"/>
                </c:manualLayout>
              </c:layout>
              <c:showVal val="1"/>
            </c:dLbl>
            <c:dLbl>
              <c:idx val="11"/>
              <c:layout>
                <c:manualLayout>
                  <c:x val="2.0395150198422793E-2"/>
                  <c:y val="-4.220089630885724E-2"/>
                </c:manualLayout>
              </c:layout>
              <c:showVal val="1"/>
            </c:dLbl>
            <c:dLbl>
              <c:idx val="12"/>
              <c:layout>
                <c:manualLayout>
                  <c:x val="2.1791923767691943E-2"/>
                  <c:y val="-4.0951571450677002E-2"/>
                </c:manualLayout>
              </c:layout>
              <c:showVal val="1"/>
            </c:dLbl>
            <c:showVal val="1"/>
          </c:dLbls>
          <c:cat>
            <c:numRef>
              <c:f>Sheet1!$B$1:$R$1</c:f>
              <c:numCache>
                <c:formatCode>General</c:formatCode>
                <c:ptCount val="17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</c:numCache>
            </c:numRef>
          </c:cat>
          <c:val>
            <c:numRef>
              <c:f>Sheet1!$B$2:$R$2</c:f>
              <c:numCache>
                <c:formatCode>General</c:formatCode>
                <c:ptCount val="17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6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4</c:v>
                </c:pt>
                <c:pt idx="14">
                  <c:v>0</c:v>
                </c:pt>
                <c:pt idx="15">
                  <c:v>1</c:v>
                </c:pt>
                <c:pt idx="16">
                  <c:v>2</c:v>
                </c:pt>
              </c:numCache>
            </c:numRef>
          </c:val>
        </c:ser>
        <c:gapWidth val="130"/>
        <c:gapDepth val="0"/>
        <c:shape val="cylinder"/>
        <c:axId val="149210240"/>
        <c:axId val="149212544"/>
        <c:axId val="74845696"/>
      </c:bar3DChart>
      <c:catAx>
        <c:axId val="149210240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49212544"/>
        <c:crosses val="autoZero"/>
        <c:auto val="1"/>
        <c:lblAlgn val="ctr"/>
        <c:lblOffset val="100"/>
        <c:tickLblSkip val="1"/>
        <c:tickMarkSkip val="1"/>
      </c:catAx>
      <c:valAx>
        <c:axId val="149212544"/>
        <c:scaling>
          <c:orientation val="minMax"/>
        </c:scaling>
        <c:axPos val="l"/>
        <c:majorGridlines/>
        <c:numFmt formatCode="General" sourceLinked="1"/>
        <c:tickLblPos val="none"/>
        <c:crossAx val="149210240"/>
        <c:crosses val="autoZero"/>
        <c:crossBetween val="between"/>
      </c:valAx>
      <c:serAx>
        <c:axId val="74845696"/>
        <c:scaling>
          <c:orientation val="minMax"/>
        </c:scaling>
        <c:axPos val="b"/>
        <c:majorTickMark val="none"/>
        <c:tickLblPos val="none"/>
        <c:crossAx val="149212544"/>
        <c:crosses val="autoZero"/>
        <c:tickMarkSkip val="1"/>
      </c:serAx>
    </c:plotArea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view3D>
      <c:rotX val="6"/>
      <c:hPercent val="39"/>
      <c:rotY val="25"/>
      <c:depthPercent val="70"/>
      <c:rAngAx val="1"/>
    </c:view3D>
    <c:plotArea>
      <c:layout>
        <c:manualLayout>
          <c:layoutTarget val="inner"/>
          <c:xMode val="edge"/>
          <c:yMode val="edge"/>
          <c:x val="6.5300945155178621E-3"/>
          <c:y val="0.1966101643634604"/>
          <c:w val="0.99276111685625557"/>
          <c:h val="0.57118644067796509"/>
        </c:manualLayout>
      </c:layout>
      <c:bar3DChart>
        <c:barDir val="col"/>
        <c:grouping val="standard"/>
        <c:ser>
          <c:idx val="0"/>
          <c:order val="0"/>
          <c:dLbls>
            <c:dLbl>
              <c:idx val="0"/>
              <c:layout>
                <c:manualLayout>
                  <c:x val="1.7019812496099334E-2"/>
                  <c:y val="-5.0585290427325423E-2"/>
                </c:manualLayout>
              </c:layout>
              <c:showVal val="1"/>
            </c:dLbl>
            <c:dLbl>
              <c:idx val="1"/>
              <c:layout>
                <c:manualLayout>
                  <c:x val="1.8836928466433481E-2"/>
                  <c:y val="-4.9694109635211182E-2"/>
                </c:manualLayout>
              </c:layout>
              <c:showVal val="1"/>
            </c:dLbl>
            <c:dLbl>
              <c:idx val="2"/>
              <c:layout>
                <c:manualLayout>
                  <c:x val="1.7745107307853943E-2"/>
                  <c:y val="-4.7463270554278458E-2"/>
                </c:manualLayout>
              </c:layout>
              <c:showVal val="1"/>
            </c:dLbl>
            <c:dLbl>
              <c:idx val="3"/>
              <c:layout>
                <c:manualLayout>
                  <c:x val="1.8528097114796208E-2"/>
                  <c:y val="-4.8267156294321684E-2"/>
                </c:manualLayout>
              </c:layout>
              <c:showVal val="1"/>
            </c:dLbl>
            <c:dLbl>
              <c:idx val="4"/>
              <c:layout>
                <c:manualLayout>
                  <c:x val="1.5368023629432773E-2"/>
                  <c:y val="-5.0139700031268324E-2"/>
                </c:manualLayout>
              </c:layout>
              <c:showVal val="1"/>
            </c:dLbl>
            <c:dLbl>
              <c:idx val="5"/>
              <c:layout>
                <c:manualLayout>
                  <c:x val="1.821926576315892E-2"/>
                  <c:y val="-4.9694109635211182E-2"/>
                </c:manualLayout>
              </c:layout>
              <c:showVal val="1"/>
            </c:dLbl>
            <c:dLbl>
              <c:idx val="6"/>
              <c:layout>
                <c:manualLayout>
                  <c:x val="1.9195696931363259E-2"/>
                  <c:y val="-3.7471407511564039E-2"/>
                </c:manualLayout>
              </c:layout>
              <c:showVal val="1"/>
            </c:dLbl>
            <c:dLbl>
              <c:idx val="7"/>
              <c:layout>
                <c:manualLayout>
                  <c:x val="1.8524218173848615E-2"/>
                  <c:y val="-3.7471407511564039E-2"/>
                </c:manualLayout>
              </c:layout>
              <c:showVal val="1"/>
            </c:dLbl>
            <c:dLbl>
              <c:idx val="8"/>
              <c:layout>
                <c:manualLayout>
                  <c:x val="1.9307207980790803E-2"/>
                  <c:y val="-4.2646486704914222E-2"/>
                </c:manualLayout>
              </c:layout>
              <c:showVal val="1"/>
            </c:dLbl>
            <c:dLbl>
              <c:idx val="9"/>
              <c:layout>
                <c:manualLayout>
                  <c:x val="2.0703981550059952E-2"/>
                  <c:y val="-4.7999194380973907E-2"/>
                </c:manualLayout>
              </c:layout>
              <c:showVal val="1"/>
            </c:dLbl>
            <c:dLbl>
              <c:idx val="10"/>
              <c:layout>
                <c:manualLayout>
                  <c:x val="1.9612066153963204E-2"/>
                  <c:y val="-4.1665123760081836E-2"/>
                </c:manualLayout>
              </c:layout>
              <c:showVal val="1"/>
            </c:dLbl>
            <c:dLbl>
              <c:idx val="11"/>
              <c:layout>
                <c:manualLayout>
                  <c:x val="2.0395150198422793E-2"/>
                  <c:y val="-4.220089630885724E-2"/>
                </c:manualLayout>
              </c:layout>
              <c:showVal val="1"/>
            </c:dLbl>
            <c:dLbl>
              <c:idx val="12"/>
              <c:layout>
                <c:manualLayout>
                  <c:x val="2.1791923767691943E-2"/>
                  <c:y val="-4.0951571450677002E-2"/>
                </c:manualLayout>
              </c:layout>
              <c:showVal val="1"/>
            </c:dLbl>
            <c:showVal val="1"/>
          </c:dLbls>
          <c:cat>
            <c:numRef>
              <c:f>Sheet1!$B$1:$R$1</c:f>
              <c:numCache>
                <c:formatCode>General</c:formatCode>
                <c:ptCount val="17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</c:numCache>
            </c:numRef>
          </c:cat>
          <c:val>
            <c:numRef>
              <c:f>Sheet1!$B$2:$R$2</c:f>
              <c:numCache>
                <c:formatCode>General</c:formatCode>
                <c:ptCount val="17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5</c:v>
                </c:pt>
                <c:pt idx="5">
                  <c:v>3</c:v>
                </c:pt>
                <c:pt idx="6">
                  <c:v>5</c:v>
                </c:pt>
                <c:pt idx="7">
                  <c:v>7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3</c:v>
                </c:pt>
                <c:pt idx="12">
                  <c:v>4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</c:numCache>
            </c:numRef>
          </c:val>
        </c:ser>
        <c:gapWidth val="130"/>
        <c:gapDepth val="0"/>
        <c:shape val="cylinder"/>
        <c:axId val="150369024"/>
        <c:axId val="150370560"/>
        <c:axId val="135549824"/>
      </c:bar3DChart>
      <c:catAx>
        <c:axId val="150369024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50370560"/>
        <c:crosses val="autoZero"/>
        <c:auto val="1"/>
        <c:lblAlgn val="ctr"/>
        <c:lblOffset val="100"/>
        <c:tickLblSkip val="1"/>
        <c:tickMarkSkip val="1"/>
      </c:catAx>
      <c:valAx>
        <c:axId val="150370560"/>
        <c:scaling>
          <c:orientation val="minMax"/>
        </c:scaling>
        <c:axPos val="l"/>
        <c:majorGridlines/>
        <c:numFmt formatCode="General" sourceLinked="1"/>
        <c:tickLblPos val="none"/>
        <c:crossAx val="150369024"/>
        <c:crosses val="autoZero"/>
        <c:crossBetween val="between"/>
      </c:valAx>
      <c:serAx>
        <c:axId val="135549824"/>
        <c:scaling>
          <c:orientation val="minMax"/>
        </c:scaling>
        <c:axPos val="b"/>
        <c:majorTickMark val="none"/>
        <c:tickLblPos val="none"/>
        <c:crossAx val="150370560"/>
        <c:crosses val="autoZero"/>
        <c:tickMarkSkip val="1"/>
      </c:serAx>
    </c:plotArea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view3D>
      <c:rotX val="6"/>
      <c:hPercent val="39"/>
      <c:rotY val="25"/>
      <c:depthPercent val="70"/>
      <c:rAngAx val="1"/>
    </c:view3D>
    <c:plotArea>
      <c:layout>
        <c:manualLayout>
          <c:layoutTarget val="inner"/>
          <c:xMode val="edge"/>
          <c:yMode val="edge"/>
          <c:x val="4.1365046535677364E-3"/>
          <c:y val="0.19661016949152543"/>
          <c:w val="0.99276111685625557"/>
          <c:h val="0.57118644067796509"/>
        </c:manualLayout>
      </c:layout>
      <c:bar3DChart>
        <c:barDir val="col"/>
        <c:grouping val="standard"/>
        <c:ser>
          <c:idx val="0"/>
          <c:order val="0"/>
          <c:dLbls>
            <c:dLbl>
              <c:idx val="0"/>
              <c:layout>
                <c:manualLayout>
                  <c:x val="1.7019812496099334E-2"/>
                  <c:y val="-5.0585290427325423E-2"/>
                </c:manualLayout>
              </c:layout>
              <c:showVal val="1"/>
            </c:dLbl>
            <c:dLbl>
              <c:idx val="1"/>
              <c:layout>
                <c:manualLayout>
                  <c:x val="1.8836928466433481E-2"/>
                  <c:y val="-4.9694109635211182E-2"/>
                </c:manualLayout>
              </c:layout>
              <c:showVal val="1"/>
            </c:dLbl>
            <c:dLbl>
              <c:idx val="2"/>
              <c:layout>
                <c:manualLayout>
                  <c:x val="1.7745107307853943E-2"/>
                  <c:y val="-4.7463270554278458E-2"/>
                </c:manualLayout>
              </c:layout>
              <c:showVal val="1"/>
            </c:dLbl>
            <c:dLbl>
              <c:idx val="3"/>
              <c:layout>
                <c:manualLayout>
                  <c:x val="1.8528097114796208E-2"/>
                  <c:y val="-4.8267156294321684E-2"/>
                </c:manualLayout>
              </c:layout>
              <c:showVal val="1"/>
            </c:dLbl>
            <c:dLbl>
              <c:idx val="4"/>
              <c:layout>
                <c:manualLayout>
                  <c:x val="1.5368023629432773E-2"/>
                  <c:y val="-5.0139700031268324E-2"/>
                </c:manualLayout>
              </c:layout>
              <c:showVal val="1"/>
            </c:dLbl>
            <c:dLbl>
              <c:idx val="5"/>
              <c:layout>
                <c:manualLayout>
                  <c:x val="1.821926576315892E-2"/>
                  <c:y val="-4.9694109635211182E-2"/>
                </c:manualLayout>
              </c:layout>
              <c:showVal val="1"/>
            </c:dLbl>
            <c:dLbl>
              <c:idx val="6"/>
              <c:layout>
                <c:manualLayout>
                  <c:x val="1.9195696931363259E-2"/>
                  <c:y val="-3.7471407511564039E-2"/>
                </c:manualLayout>
              </c:layout>
              <c:showVal val="1"/>
            </c:dLbl>
            <c:dLbl>
              <c:idx val="7"/>
              <c:layout>
                <c:manualLayout>
                  <c:x val="1.8524218173848615E-2"/>
                  <c:y val="-3.7471407511564039E-2"/>
                </c:manualLayout>
              </c:layout>
              <c:showVal val="1"/>
            </c:dLbl>
            <c:dLbl>
              <c:idx val="8"/>
              <c:layout>
                <c:manualLayout>
                  <c:x val="1.9307207980790803E-2"/>
                  <c:y val="-4.2646486704914222E-2"/>
                </c:manualLayout>
              </c:layout>
              <c:showVal val="1"/>
            </c:dLbl>
            <c:dLbl>
              <c:idx val="9"/>
              <c:layout>
                <c:manualLayout>
                  <c:x val="2.0703981550059952E-2"/>
                  <c:y val="-4.7999194380973907E-2"/>
                </c:manualLayout>
              </c:layout>
              <c:showVal val="1"/>
            </c:dLbl>
            <c:dLbl>
              <c:idx val="10"/>
              <c:layout>
                <c:manualLayout>
                  <c:x val="1.9612066153963204E-2"/>
                  <c:y val="-4.1665123760081836E-2"/>
                </c:manualLayout>
              </c:layout>
              <c:showVal val="1"/>
            </c:dLbl>
            <c:dLbl>
              <c:idx val="11"/>
              <c:layout>
                <c:manualLayout>
                  <c:x val="2.0395150198422793E-2"/>
                  <c:y val="-4.220089630885724E-2"/>
                </c:manualLayout>
              </c:layout>
              <c:showVal val="1"/>
            </c:dLbl>
            <c:dLbl>
              <c:idx val="12"/>
              <c:layout>
                <c:manualLayout>
                  <c:x val="2.1791923767691943E-2"/>
                  <c:y val="-4.0951571450677002E-2"/>
                </c:manualLayout>
              </c:layout>
              <c:showVal val="1"/>
            </c:dLbl>
            <c:showVal val="1"/>
          </c:dLbls>
          <c:cat>
            <c:numRef>
              <c:f>(Sheet1!$B$1:$O$1;Sheet1!$P$1;Sheet1!$Q$1:$R$1)</c:f>
              <c:numCache>
                <c:formatCode>General</c:formatCode>
                <c:ptCount val="17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</c:numCache>
            </c:numRef>
          </c:cat>
          <c:val>
            <c:numRef>
              <c:f>(Sheet1!$B$2:$O$2;Sheet1!$P$2;Sheet1!$Q$2:$R$2)</c:f>
              <c:numCache>
                <c:formatCode>General</c:formatCode>
                <c:ptCount val="17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gapWidth val="130"/>
        <c:gapDepth val="0"/>
        <c:shape val="cylinder"/>
        <c:axId val="149624704"/>
        <c:axId val="149626240"/>
        <c:axId val="136217472"/>
      </c:bar3DChart>
      <c:catAx>
        <c:axId val="149624704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49626240"/>
        <c:crosses val="autoZero"/>
        <c:auto val="1"/>
        <c:lblAlgn val="ctr"/>
        <c:lblOffset val="100"/>
        <c:tickLblSkip val="1"/>
        <c:tickMarkSkip val="1"/>
      </c:catAx>
      <c:valAx>
        <c:axId val="149626240"/>
        <c:scaling>
          <c:orientation val="minMax"/>
        </c:scaling>
        <c:axPos val="l"/>
        <c:majorGridlines/>
        <c:numFmt formatCode="General" sourceLinked="1"/>
        <c:tickLblPos val="none"/>
        <c:crossAx val="149624704"/>
        <c:crosses val="autoZero"/>
        <c:crossBetween val="between"/>
      </c:valAx>
      <c:serAx>
        <c:axId val="136217472"/>
        <c:scaling>
          <c:orientation val="minMax"/>
        </c:scaling>
        <c:axPos val="b"/>
        <c:majorTickMark val="none"/>
        <c:tickLblPos val="none"/>
        <c:crossAx val="149626240"/>
        <c:crosses val="autoZero"/>
        <c:tickMarkSkip val="1"/>
      </c:serAx>
    </c:plotArea>
    <c:plotVisOnly val="1"/>
    <c:dispBlanksAs val="gap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view3D>
      <c:rotX val="6"/>
      <c:hPercent val="39"/>
      <c:rotY val="25"/>
      <c:depthPercent val="70"/>
      <c:rAngAx val="1"/>
    </c:view3D>
    <c:plotArea>
      <c:layout>
        <c:manualLayout>
          <c:layoutTarget val="inner"/>
          <c:xMode val="edge"/>
          <c:yMode val="edge"/>
          <c:x val="4.1365046535677364E-3"/>
          <c:y val="0.19661016949152543"/>
          <c:w val="0.99276111685625557"/>
          <c:h val="0.57118644067796487"/>
        </c:manualLayout>
      </c:layout>
      <c:bar3DChart>
        <c:barDir val="col"/>
        <c:grouping val="standard"/>
        <c:ser>
          <c:idx val="0"/>
          <c:order val="0"/>
          <c:dLbls>
            <c:dLbl>
              <c:idx val="0"/>
              <c:layout>
                <c:manualLayout>
                  <c:x val="1.7019812496099334E-2"/>
                  <c:y val="-5.0585290427325423E-2"/>
                </c:manualLayout>
              </c:layout>
              <c:showVal val="1"/>
            </c:dLbl>
            <c:dLbl>
              <c:idx val="1"/>
              <c:layout>
                <c:manualLayout>
                  <c:x val="1.8836928466433481E-2"/>
                  <c:y val="-4.9694109635211182E-2"/>
                </c:manualLayout>
              </c:layout>
              <c:showVal val="1"/>
            </c:dLbl>
            <c:dLbl>
              <c:idx val="2"/>
              <c:layout>
                <c:manualLayout>
                  <c:x val="1.7745107307853943E-2"/>
                  <c:y val="-4.7463270554278493E-2"/>
                </c:manualLayout>
              </c:layout>
              <c:showVal val="1"/>
            </c:dLbl>
            <c:dLbl>
              <c:idx val="3"/>
              <c:layout>
                <c:manualLayout>
                  <c:x val="1.8528097114796208E-2"/>
                  <c:y val="-4.8267156294321684E-2"/>
                </c:manualLayout>
              </c:layout>
              <c:showVal val="1"/>
            </c:dLbl>
            <c:dLbl>
              <c:idx val="4"/>
              <c:layout>
                <c:manualLayout>
                  <c:x val="1.536802362943278E-2"/>
                  <c:y val="-5.0139700031268324E-2"/>
                </c:manualLayout>
              </c:layout>
              <c:showVal val="1"/>
            </c:dLbl>
            <c:dLbl>
              <c:idx val="5"/>
              <c:layout>
                <c:manualLayout>
                  <c:x val="1.821926576315892E-2"/>
                  <c:y val="-4.9694109635211182E-2"/>
                </c:manualLayout>
              </c:layout>
              <c:showVal val="1"/>
            </c:dLbl>
            <c:dLbl>
              <c:idx val="6"/>
              <c:layout>
                <c:manualLayout>
                  <c:x val="1.9195696931363259E-2"/>
                  <c:y val="-3.7471407511564067E-2"/>
                </c:manualLayout>
              </c:layout>
              <c:showVal val="1"/>
            </c:dLbl>
            <c:dLbl>
              <c:idx val="7"/>
              <c:layout>
                <c:manualLayout>
                  <c:x val="1.8524218173848615E-2"/>
                  <c:y val="-3.7471407511564067E-2"/>
                </c:manualLayout>
              </c:layout>
              <c:showVal val="1"/>
            </c:dLbl>
            <c:dLbl>
              <c:idx val="8"/>
              <c:layout>
                <c:manualLayout>
                  <c:x val="1.9307207980790803E-2"/>
                  <c:y val="-4.2646486704914222E-2"/>
                </c:manualLayout>
              </c:layout>
              <c:showVal val="1"/>
            </c:dLbl>
            <c:dLbl>
              <c:idx val="9"/>
              <c:layout>
                <c:manualLayout>
                  <c:x val="2.0703981550059952E-2"/>
                  <c:y val="-4.7999194380973907E-2"/>
                </c:manualLayout>
              </c:layout>
              <c:showVal val="1"/>
            </c:dLbl>
            <c:dLbl>
              <c:idx val="10"/>
              <c:layout>
                <c:manualLayout>
                  <c:x val="1.9612066153963204E-2"/>
                  <c:y val="-4.1665123760081808E-2"/>
                </c:manualLayout>
              </c:layout>
              <c:showVal val="1"/>
            </c:dLbl>
            <c:dLbl>
              <c:idx val="11"/>
              <c:layout>
                <c:manualLayout>
                  <c:x val="2.0395150198422793E-2"/>
                  <c:y val="-4.220089630885724E-2"/>
                </c:manualLayout>
              </c:layout>
              <c:showVal val="1"/>
            </c:dLbl>
            <c:dLbl>
              <c:idx val="12"/>
              <c:layout>
                <c:manualLayout>
                  <c:x val="2.1791923767691946E-2"/>
                  <c:y val="-4.0951571450677002E-2"/>
                </c:manualLayout>
              </c:layout>
              <c:showVal val="1"/>
            </c:dLbl>
            <c:showVal val="1"/>
          </c:dLbls>
          <c:cat>
            <c:numRef>
              <c:f>(Sheet1!$B$1:$O$1;Sheet1!$P$1;Sheet1!$Q$1:$R$1)</c:f>
              <c:numCache>
                <c:formatCode>General</c:formatCode>
                <c:ptCount val="17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</c:numCache>
            </c:numRef>
          </c:cat>
          <c:val>
            <c:numRef>
              <c:f>(Sheet1!$B$2:$O$2;Sheet1!$P$2;Sheet1!$Q$2:$R$2)</c:f>
              <c:numCache>
                <c:formatCode>General</c:formatCode>
                <c:ptCount val="17"/>
                <c:pt idx="0">
                  <c:v>13</c:v>
                </c:pt>
                <c:pt idx="1">
                  <c:v>7</c:v>
                </c:pt>
                <c:pt idx="2">
                  <c:v>11</c:v>
                </c:pt>
                <c:pt idx="3">
                  <c:v>5</c:v>
                </c:pt>
                <c:pt idx="4">
                  <c:v>10</c:v>
                </c:pt>
                <c:pt idx="5">
                  <c:v>7</c:v>
                </c:pt>
                <c:pt idx="6">
                  <c:v>16</c:v>
                </c:pt>
                <c:pt idx="7">
                  <c:v>16</c:v>
                </c:pt>
                <c:pt idx="8">
                  <c:v>9</c:v>
                </c:pt>
                <c:pt idx="9">
                  <c:v>7</c:v>
                </c:pt>
                <c:pt idx="10">
                  <c:v>10</c:v>
                </c:pt>
                <c:pt idx="11">
                  <c:v>6</c:v>
                </c:pt>
                <c:pt idx="12">
                  <c:v>10</c:v>
                </c:pt>
                <c:pt idx="13">
                  <c:v>9</c:v>
                </c:pt>
                <c:pt idx="14">
                  <c:v>9</c:v>
                </c:pt>
                <c:pt idx="15">
                  <c:v>5</c:v>
                </c:pt>
                <c:pt idx="16">
                  <c:v>3</c:v>
                </c:pt>
              </c:numCache>
            </c:numRef>
          </c:val>
        </c:ser>
        <c:gapWidth val="130"/>
        <c:gapDepth val="0"/>
        <c:shape val="cylinder"/>
        <c:axId val="136286592"/>
        <c:axId val="136288128"/>
        <c:axId val="136190592"/>
      </c:bar3DChart>
      <c:catAx>
        <c:axId val="136286592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36288128"/>
        <c:crosses val="autoZero"/>
        <c:auto val="1"/>
        <c:lblAlgn val="ctr"/>
        <c:lblOffset val="100"/>
        <c:tickLblSkip val="1"/>
        <c:tickMarkSkip val="1"/>
      </c:catAx>
      <c:valAx>
        <c:axId val="136288128"/>
        <c:scaling>
          <c:orientation val="minMax"/>
        </c:scaling>
        <c:axPos val="l"/>
        <c:majorGridlines/>
        <c:numFmt formatCode="General" sourceLinked="1"/>
        <c:tickLblPos val="none"/>
        <c:crossAx val="136286592"/>
        <c:crosses val="autoZero"/>
        <c:crossBetween val="between"/>
      </c:valAx>
      <c:serAx>
        <c:axId val="136190592"/>
        <c:scaling>
          <c:orientation val="minMax"/>
        </c:scaling>
        <c:axPos val="b"/>
        <c:majorTickMark val="none"/>
        <c:tickLblPos val="none"/>
        <c:crossAx val="136288128"/>
        <c:crosses val="autoZero"/>
        <c:tickMarkSkip val="1"/>
      </c:serAx>
    </c:plotArea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view3D>
      <c:rotX val="6"/>
      <c:hPercent val="39"/>
      <c:rotY val="25"/>
      <c:depthPercent val="70"/>
      <c:rAngAx val="1"/>
    </c:view3D>
    <c:plotArea>
      <c:layout>
        <c:manualLayout>
          <c:layoutTarget val="inner"/>
          <c:xMode val="edge"/>
          <c:yMode val="edge"/>
          <c:x val="4.1365046535677364E-3"/>
          <c:y val="0.19661016949152543"/>
          <c:w val="0.99276111685625557"/>
          <c:h val="0.57118644067796487"/>
        </c:manualLayout>
      </c:layout>
      <c:bar3DChart>
        <c:barDir val="col"/>
        <c:grouping val="standard"/>
        <c:ser>
          <c:idx val="0"/>
          <c:order val="0"/>
          <c:dLbls>
            <c:dLbl>
              <c:idx val="0"/>
              <c:layout>
                <c:manualLayout>
                  <c:x val="1.7019812496099334E-2"/>
                  <c:y val="-5.0585290427325423E-2"/>
                </c:manualLayout>
              </c:layout>
              <c:showVal val="1"/>
            </c:dLbl>
            <c:dLbl>
              <c:idx val="1"/>
              <c:layout>
                <c:manualLayout>
                  <c:x val="1.8836928466433481E-2"/>
                  <c:y val="-4.9694109635211182E-2"/>
                </c:manualLayout>
              </c:layout>
              <c:showVal val="1"/>
            </c:dLbl>
            <c:dLbl>
              <c:idx val="2"/>
              <c:layout>
                <c:manualLayout>
                  <c:x val="1.7745107307853943E-2"/>
                  <c:y val="-4.7463270554278493E-2"/>
                </c:manualLayout>
              </c:layout>
              <c:showVal val="1"/>
            </c:dLbl>
            <c:dLbl>
              <c:idx val="3"/>
              <c:layout>
                <c:manualLayout>
                  <c:x val="1.8528097114796208E-2"/>
                  <c:y val="-4.8267156294321684E-2"/>
                </c:manualLayout>
              </c:layout>
              <c:showVal val="1"/>
            </c:dLbl>
            <c:dLbl>
              <c:idx val="4"/>
              <c:layout>
                <c:manualLayout>
                  <c:x val="1.536802362943278E-2"/>
                  <c:y val="-5.0139700031268324E-2"/>
                </c:manualLayout>
              </c:layout>
              <c:showVal val="1"/>
            </c:dLbl>
            <c:dLbl>
              <c:idx val="5"/>
              <c:layout>
                <c:manualLayout>
                  <c:x val="1.821926576315892E-2"/>
                  <c:y val="-4.9694109635211182E-2"/>
                </c:manualLayout>
              </c:layout>
              <c:showVal val="1"/>
            </c:dLbl>
            <c:dLbl>
              <c:idx val="6"/>
              <c:layout>
                <c:manualLayout>
                  <c:x val="1.9195696931363259E-2"/>
                  <c:y val="-3.7471407511564067E-2"/>
                </c:manualLayout>
              </c:layout>
              <c:showVal val="1"/>
            </c:dLbl>
            <c:dLbl>
              <c:idx val="7"/>
              <c:layout>
                <c:manualLayout>
                  <c:x val="1.8524218173848615E-2"/>
                  <c:y val="-3.7471407511564067E-2"/>
                </c:manualLayout>
              </c:layout>
              <c:showVal val="1"/>
            </c:dLbl>
            <c:dLbl>
              <c:idx val="8"/>
              <c:layout>
                <c:manualLayout>
                  <c:x val="1.9307207980790803E-2"/>
                  <c:y val="-4.2646486704914222E-2"/>
                </c:manualLayout>
              </c:layout>
              <c:showVal val="1"/>
            </c:dLbl>
            <c:dLbl>
              <c:idx val="9"/>
              <c:layout>
                <c:manualLayout>
                  <c:x val="2.0703981550059952E-2"/>
                  <c:y val="-4.7999194380973907E-2"/>
                </c:manualLayout>
              </c:layout>
              <c:showVal val="1"/>
            </c:dLbl>
            <c:dLbl>
              <c:idx val="10"/>
              <c:layout>
                <c:manualLayout>
                  <c:x val="1.9612066153963204E-2"/>
                  <c:y val="-4.1665123760081808E-2"/>
                </c:manualLayout>
              </c:layout>
              <c:showVal val="1"/>
            </c:dLbl>
            <c:dLbl>
              <c:idx val="11"/>
              <c:layout>
                <c:manualLayout>
                  <c:x val="2.0395150198422793E-2"/>
                  <c:y val="-4.220089630885724E-2"/>
                </c:manualLayout>
              </c:layout>
              <c:showVal val="1"/>
            </c:dLbl>
            <c:dLbl>
              <c:idx val="12"/>
              <c:layout>
                <c:manualLayout>
                  <c:x val="2.1791923767691946E-2"/>
                  <c:y val="-4.0951571450677002E-2"/>
                </c:manualLayout>
              </c:layout>
              <c:showVal val="1"/>
            </c:dLbl>
            <c:showVal val="1"/>
          </c:dLbls>
          <c:cat>
            <c:numRef>
              <c:f>(Sheet1!$B$1:$O$1;Sheet1!$P$1;Sheet1!$Q$1:$R$1)</c:f>
              <c:numCache>
                <c:formatCode>General</c:formatCode>
                <c:ptCount val="17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</c:numCache>
            </c:numRef>
          </c:cat>
          <c:val>
            <c:numRef>
              <c:f>(Sheet1!$B$2:$O$2;Sheet1!$P$2;Sheet1!$Q$2:$R$2)</c:f>
              <c:numCache>
                <c:formatCode>General</c:formatCode>
                <c:ptCount val="17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7</c:v>
                </c:pt>
                <c:pt idx="4">
                  <c:v>10</c:v>
                </c:pt>
                <c:pt idx="5">
                  <c:v>6</c:v>
                </c:pt>
                <c:pt idx="6">
                  <c:v>4</c:v>
                </c:pt>
                <c:pt idx="7">
                  <c:v>5</c:v>
                </c:pt>
                <c:pt idx="8">
                  <c:v>3</c:v>
                </c:pt>
                <c:pt idx="9">
                  <c:v>6</c:v>
                </c:pt>
                <c:pt idx="10">
                  <c:v>3</c:v>
                </c:pt>
                <c:pt idx="11">
                  <c:v>5</c:v>
                </c:pt>
                <c:pt idx="12">
                  <c:v>3</c:v>
                </c:pt>
                <c:pt idx="13">
                  <c:v>3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</c:numCache>
            </c:numRef>
          </c:val>
        </c:ser>
        <c:gapWidth val="130"/>
        <c:gapDepth val="0"/>
        <c:shape val="cylinder"/>
        <c:axId val="149576320"/>
        <c:axId val="101331328"/>
        <c:axId val="136217920"/>
      </c:bar3DChart>
      <c:catAx>
        <c:axId val="149576320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01331328"/>
        <c:crosses val="autoZero"/>
        <c:auto val="1"/>
        <c:lblAlgn val="ctr"/>
        <c:lblOffset val="100"/>
        <c:tickLblSkip val="1"/>
        <c:tickMarkSkip val="1"/>
      </c:catAx>
      <c:valAx>
        <c:axId val="101331328"/>
        <c:scaling>
          <c:orientation val="minMax"/>
        </c:scaling>
        <c:axPos val="l"/>
        <c:majorGridlines/>
        <c:numFmt formatCode="General" sourceLinked="1"/>
        <c:tickLblPos val="none"/>
        <c:crossAx val="149576320"/>
        <c:crosses val="autoZero"/>
        <c:crossBetween val="between"/>
      </c:valAx>
      <c:serAx>
        <c:axId val="136217920"/>
        <c:scaling>
          <c:orientation val="minMax"/>
        </c:scaling>
        <c:axPos val="b"/>
        <c:majorTickMark val="none"/>
        <c:tickLblPos val="none"/>
        <c:crossAx val="101331328"/>
        <c:crosses val="autoZero"/>
        <c:tickMarkSkip val="1"/>
      </c:serAx>
    </c:plotArea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0.03625</cdr:x>
      <cdr:y>0</cdr:y>
    </cdr:from>
    <cdr:to>
      <cdr:x>1</cdr:x>
      <cdr:y>0.21175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0338" y="0"/>
          <a:ext cx="8876788" cy="11899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54864" tIns="50292" rIns="54864" bIns="50292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2600" b="1" i="0" strike="noStrike">
              <a:solidFill>
                <a:srgbClr val="000000"/>
              </a:solidFill>
              <a:latin typeface="Calibri"/>
            </a:rPr>
            <a:t>АНАЛИЗ ПОЖАРОВ</a:t>
          </a:r>
        </a:p>
        <a:p xmlns:a="http://schemas.openxmlformats.org/drawingml/2006/main">
          <a:pPr algn="ctr" rtl="1">
            <a:defRPr sz="1000"/>
          </a:pPr>
          <a:r>
            <a:rPr lang="ru-RU" sz="2600" b="1" i="0" strike="noStrike">
              <a:solidFill>
                <a:srgbClr val="000000"/>
              </a:solidFill>
              <a:latin typeface="Calibri"/>
            </a:rPr>
            <a:t>печное</a:t>
          </a:r>
          <a:r>
            <a:rPr lang="ru-RU" sz="2600" b="1" i="0" strike="noStrike" baseline="0">
              <a:solidFill>
                <a:srgbClr val="000000"/>
              </a:solidFill>
              <a:latin typeface="Calibri"/>
            </a:rPr>
            <a:t> отопление</a:t>
          </a:r>
          <a:endParaRPr lang="ru-RU" sz="2600" b="1" i="0" strike="noStrike">
            <a:solidFill>
              <a:srgbClr val="000000"/>
            </a:solidFill>
            <a:latin typeface="Calibri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0.03625</cdr:x>
      <cdr:y>0</cdr:y>
    </cdr:from>
    <cdr:to>
      <cdr:x>1</cdr:x>
      <cdr:y>0.21175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0338" y="0"/>
          <a:ext cx="8876788" cy="11899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54864" tIns="50292" rIns="54864" bIns="50292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2600" b="1" i="0" strike="noStrike">
              <a:solidFill>
                <a:srgbClr val="000000"/>
              </a:solidFill>
              <a:latin typeface="Calibri"/>
            </a:rPr>
            <a:t>АНАЛИЗ ПОЖАРОВ</a:t>
          </a:r>
        </a:p>
        <a:p xmlns:a="http://schemas.openxmlformats.org/drawingml/2006/main">
          <a:pPr algn="ctr" rtl="1">
            <a:defRPr sz="1000"/>
          </a:pPr>
          <a:r>
            <a:rPr lang="ru-RU" sz="2600" b="1" i="0" strike="noStrike">
              <a:solidFill>
                <a:srgbClr val="000000"/>
              </a:solidFill>
              <a:latin typeface="Calibri"/>
            </a:rPr>
            <a:t>прочие</a:t>
          </a:r>
          <a:r>
            <a:rPr lang="ru-RU" sz="2600" b="1" i="0" strike="noStrike" baseline="0">
              <a:solidFill>
                <a:srgbClr val="000000"/>
              </a:solidFill>
              <a:latin typeface="Calibri"/>
            </a:rPr>
            <a:t> причины</a:t>
          </a:r>
          <a:endParaRPr lang="ru-RU" sz="2600" b="1" i="0" strike="noStrike">
            <a:solidFill>
              <a:srgbClr val="000000"/>
            </a:solidFill>
            <a:latin typeface="Calibri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0.03625</cdr:x>
      <cdr:y>0</cdr:y>
    </cdr:from>
    <cdr:to>
      <cdr:x>1</cdr:x>
      <cdr:y>0.21175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0338" y="0"/>
          <a:ext cx="8876788" cy="11899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54864" tIns="50292" rIns="54864" bIns="50292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2600" b="1" i="0" strike="noStrike">
              <a:solidFill>
                <a:srgbClr val="000000"/>
              </a:solidFill>
              <a:latin typeface="Calibri"/>
            </a:rPr>
            <a:t>АНАЛИЗ ГИБЕЛИ</a:t>
          </a:r>
          <a:r>
            <a:rPr lang="ru-RU" sz="2600" b="1" i="0" strike="noStrike" baseline="0">
              <a:solidFill>
                <a:srgbClr val="000000"/>
              </a:solidFill>
              <a:latin typeface="Calibri"/>
            </a:rPr>
            <a:t> ЛЮДЕЙ НА ПОЖАРАХ</a:t>
          </a:r>
          <a:endParaRPr lang="ru-RU" sz="2600" b="1" i="0" strike="noStrike">
            <a:solidFill>
              <a:srgbClr val="000000"/>
            </a:solidFill>
            <a:latin typeface="Calibri"/>
          </a:endParaRPr>
        </a:p>
        <a:p xmlns:a="http://schemas.openxmlformats.org/drawingml/2006/main">
          <a:pPr algn="ctr" rtl="1">
            <a:defRPr sz="1000"/>
          </a:pPr>
          <a:endParaRPr lang="ru-RU" sz="2600" b="1" i="0" strike="noStrike">
            <a:solidFill>
              <a:srgbClr val="000000"/>
            </a:solidFill>
            <a:latin typeface="Calibri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0.03625</cdr:x>
      <cdr:y>0</cdr:y>
    </cdr:from>
    <cdr:to>
      <cdr:x>1</cdr:x>
      <cdr:y>0.21175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0338" y="0"/>
          <a:ext cx="8876788" cy="11899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54864" tIns="50292" rIns="54864" bIns="50292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2600" b="1" i="0" strike="noStrike">
              <a:solidFill>
                <a:srgbClr val="000000"/>
              </a:solidFill>
              <a:latin typeface="Calibri"/>
            </a:rPr>
            <a:t>АНАЛИЗ ПОЖАРОВ</a:t>
          </a:r>
        </a:p>
        <a:p xmlns:a="http://schemas.openxmlformats.org/drawingml/2006/main">
          <a:pPr algn="ctr" rtl="1">
            <a:defRPr sz="1000"/>
          </a:pPr>
          <a:r>
            <a:rPr lang="ru-RU" sz="2600" b="1" i="0" strike="noStrike">
              <a:solidFill>
                <a:srgbClr val="000000"/>
              </a:solidFill>
              <a:latin typeface="Calibri"/>
            </a:rPr>
            <a:t>шалость</a:t>
          </a:r>
          <a:r>
            <a:rPr lang="ru-RU" sz="2600" b="1" i="0" strike="noStrike" baseline="0">
              <a:solidFill>
                <a:srgbClr val="000000"/>
              </a:solidFill>
              <a:latin typeface="Calibri"/>
            </a:rPr>
            <a:t> детей с огнем</a:t>
          </a:r>
          <a:endParaRPr lang="ru-RU" sz="2600" b="1" i="0" strike="noStrike">
            <a:solidFill>
              <a:srgbClr val="000000"/>
            </a:solidFill>
            <a:latin typeface="Calibri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0.03625</cdr:x>
      <cdr:y>0</cdr:y>
    </cdr:from>
    <cdr:to>
      <cdr:x>1</cdr:x>
      <cdr:y>0.21175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0338" y="0"/>
          <a:ext cx="8876788" cy="11899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54864" tIns="50292" rIns="54864" bIns="50292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2600" b="1" i="0" strike="noStrike">
              <a:solidFill>
                <a:srgbClr val="000000"/>
              </a:solidFill>
              <a:latin typeface="Calibri"/>
            </a:rPr>
            <a:t>АНАЛИЗ ПОЖАРОВ</a:t>
          </a:r>
        </a:p>
        <a:p xmlns:a="http://schemas.openxmlformats.org/drawingml/2006/main">
          <a:pPr algn="ctr" rtl="1">
            <a:defRPr sz="1000"/>
          </a:pPr>
          <a:r>
            <a:rPr lang="ru-RU" sz="2600" b="1" i="0" strike="noStrike">
              <a:solidFill>
                <a:srgbClr val="000000"/>
              </a:solidFill>
              <a:latin typeface="Calibri"/>
            </a:rPr>
            <a:t>неосторожное обращение с огнем</a:t>
          </a:r>
        </a:p>
        <a:p xmlns:a="http://schemas.openxmlformats.org/drawingml/2006/main">
          <a:pPr algn="ctr" rtl="1">
            <a:defRPr sz="1000"/>
          </a:pPr>
          <a:endParaRPr lang="ru-RU" sz="2600" b="1" i="0" strike="noStrike">
            <a:solidFill>
              <a:srgbClr val="000000"/>
            </a:solidFill>
            <a:latin typeface="Calibri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0.03625</cdr:x>
      <cdr:y>0</cdr:y>
    </cdr:from>
    <cdr:to>
      <cdr:x>1</cdr:x>
      <cdr:y>0.21175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0338" y="0"/>
          <a:ext cx="8876788" cy="11899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54864" tIns="50292" rIns="54864" bIns="50292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2600" b="1" i="0" strike="noStrike">
              <a:solidFill>
                <a:srgbClr val="000000"/>
              </a:solidFill>
              <a:latin typeface="Calibri"/>
            </a:rPr>
            <a:t>АНАЛИЗ ПОЖАРОВ</a:t>
          </a:r>
        </a:p>
        <a:p xmlns:a="http://schemas.openxmlformats.org/drawingml/2006/main">
          <a:pPr algn="ctr" rtl="1">
            <a:defRPr sz="1000"/>
          </a:pPr>
          <a:r>
            <a:rPr lang="ru-RU" sz="1800" b="1">
              <a:latin typeface="+mn-lt"/>
              <a:ea typeface="+mn-ea"/>
              <a:cs typeface="+mn-cs"/>
            </a:rPr>
            <a:t>ПРИ ЭКСПЛУАТАЦИИ ЭЛЕКТРООБОРУДОВАНИЯ</a:t>
          </a:r>
          <a:endParaRPr lang="ru-RU" sz="2600" b="1" i="0" strike="noStrike">
            <a:solidFill>
              <a:srgbClr val="000000"/>
            </a:solidFill>
            <a:latin typeface="Calibri"/>
          </a:endParaRPr>
        </a:p>
        <a:p xmlns:a="http://schemas.openxmlformats.org/drawingml/2006/main">
          <a:pPr algn="ctr" rtl="1">
            <a:defRPr sz="1000"/>
          </a:pPr>
          <a:endParaRPr lang="ru-RU" sz="2600" b="1" i="0" strike="noStrike">
            <a:solidFill>
              <a:srgbClr val="000000"/>
            </a:solidFill>
            <a:latin typeface="Calibri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B836-6077-4E49-9901-3E3C5C0B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2</cp:revision>
  <cp:lastPrinted>2014-01-09T12:43:00Z</cp:lastPrinted>
  <dcterms:created xsi:type="dcterms:W3CDTF">2015-01-31T15:44:00Z</dcterms:created>
  <dcterms:modified xsi:type="dcterms:W3CDTF">2015-01-31T15:44:00Z</dcterms:modified>
</cp:coreProperties>
</file>